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VB.2000.00041 vom 17. Mai 2000</w:t>
      </w:r>
    </w:p>
    <w:p>
      <w:r>
        <w:t>ZH Verwaltungsgericht, 2000-05-17, DE</w:t>
      </w:r>
    </w:p>
    <w:p>
      <w:r>
        <w:rPr>
          <w:b/>
        </w:rPr>
        <w:t xml:space="preserve">Quelle: </w:t>
      </w:r>
      <w:r>
        <w:t>https://mcp.opencaselaw.ch/entscheid/zh_verwaltungsgericht__VB.2000.00041</w:t>
      </w:r>
    </w:p>
    <w:p>
      <w:r>
        <w:t>FR: ZH_VERWALTUNGSGERICHT VB.2000.00041 du 17 mai 2000</w:t>
      </w:r>
    </w:p>
    <w:p>
      <w:r>
        <w:t>IT: ZH_VERWALTUNGSGERICHT VB.2000.00041 del 17 maggio 2000</w:t>
      </w:r>
    </w:p>
    <w:p>
      <w:pPr>
        <w:pStyle w:val="Heading2"/>
      </w:pPr>
      <w:r>
        <w:t>Regeste</w:t>
      </w:r>
    </w:p>
    <w:p>
      <w:r>
        <w:t>Aufenthaltsbewilligung | Säumnis des Rechtsvertreters kein Grund zur Fristwiederherstellung Fristwiederherstellung bezüglich einer Kautionsverfügung der Staatskanzlei. Die durch den (damaligen) Rechtsvertreter verursachte Säumnis wird dem Beschwerdeführer angerechnet. BGE-Nr. 2A.348/20000</w:t>
      </w:r>
    </w:p>
    <w:p>
      <w:pPr>
        <w:pStyle w:val="Heading2"/>
      </w:pPr>
      <w:r>
        <w:t>Erwägungen</w:t>
      </w:r>
    </w:p>
    <w:p>
      <w:r>
        <w:rPr>
          <w:b/>
        </w:rPr>
        <w:t>E. 2</w:t>
      </w:r>
    </w:p>
    <w:p>
      <w:r>
        <w:t>a) Gemäss § 12 Abs. 2 VRG kann eine versäumte Frist nur wiederhergestellt wer­den, wenn dem Säumigen keine grobe Nachlässigkeit zur Last fällt und er innert zehn Tagen nach Wegfall des Grundes, der die Einhaltung der Frist verhindert hat, ein Gesuch um Wiederherstellung einreicht. Wird die Wiederherstellung einer Rechtsmittelfrist ver­weigert, geschieht dies ‑ im Gegensatz zur Gewährung der Wiederherstellung ‑ durch einen verfahrensabschliessenden Endentscheid (vgl. Alfred Kölz/Jürg Bosshart/Martin Röhl, Kom­mentar zum Verwaltungsrechtspflegegesetz des Kantons Zürich, 2. A., Zürich 1999, § 12 N. 25). Der Regierungsrat hätte somit, nachdem er durch Prüfung der massgeb­lichen Voraussetzungen zum Schluss kam, ein Wiederherstellungsgrund sei nicht gegeben, das Begehren abweisen müssen, anstatt darauf nicht einzutreten. Da dem Beschwerdeführer dieser Formfehler indessen nicht schadet, kann er daraus nichts zu seinen Gunsten ableiten. b) Die säumige Partei hat sich das Verhalten eines beauftragten Vertreters anrech­nen zu lassen. Dabei sind erhöhte Anforderungen an Fristwiederherstellungsbegehren von Anwälten zu stellen (Kölz/Bosshart/Röhl, § 12 N. 16 und 17; auch zum Folgenden). An­walt­liche Vertreter haben sich grundsätzlich so zu organisieren, dass die Fristen auch im Hinderungsfall gewahrt bleiben. Die Fristwahrung zu Prozesshandlungen, welche sowohl durch den anwaltlichen Vertreter wie auch durch seinen Auftraggeber vorgenommen wer­den können ‑ wie beispielsweise die Leistung eines Kostenvorschusses ‑ verlangt vom Ver­treter, dass dieser erstens klarstellt, durch wen die Vornahme der innert Frist geforder­ten Hand­lung erfolgen soll. Sieht er vor, dass die Fristhandlung durch den Auftraggeber direkt erfolgen soll, hat er dies durch rechtzeitige Mitteilung und Instruktion zu veranlassen und ‑ zweitens ‑ vor Fristablauf zu kontrollieren, ob der Auftraggeber die Mitteilung emp­fangen und genaue Kenntnis von der Frist und der zu erledigenden Obliegenheit hat. Hegt der an­waltliche Vertreter Zweifel, ob seinem Auftraggeber die entsprechenden Mit­teilungen zu­ge­kommen sind oder ob dieser die vorzunehmenden Handlungen innert Frist vorkehren wird, hat er die Zweifel zu beseitigen und bei drohendem Fristablauf ein Frister­streckungs­ge­such einzureichen, sofern er nicht die geforderte Handlung selbst innert Frist vornehmen will. Mit Bezug auf Kostenvorschüsse bedeutet dies, dass der Vertreter entwe­der im ge­nann­ten Zweifelsfall die Kaution selbst einzahlen oder mit entsprechender Be­gründung vor Fristablauf die Frist erstrecken lassen muss. In jedem Fall verlangt die gefor­derte Sorgfalt des anwaltlichen Auftrags, dass der Anwalt es nicht dabei bewenden lassen darf, seinem Auf­trag­geber die behördliche Auflage und die entsprechende Frist zur Erledi­gung weiter­zu­leiten, sondern sie erheischt, dass vor Ablauf der Frist die erwähnten Kon­trollen be­zie­hungs­weise fristwahrenden oder fristerstreckenden Massnahmen durch den Vertreter vor­ge­nom­men werden. Unterlässt der Vertreter die genannten Vorkehrungen vor Fristablauf, verletzt er seine Sorgfaltspflicht und kann keine Fristwiederherstellung bean­spruchen. Der Auftraggeber hat sich dieses Verhalten anrechnen zu lassen und kann sich nicht damit ent­schul­di­gen, er habe die behördliche Auflage durch seinen Vertreter nicht oder zu spät er­halten.</w:t>
      </w:r>
    </w:p>
    <w:p>
      <w:r>
        <w:rPr>
          <w:b/>
        </w:rPr>
        <w:t>E. 3</w:t>
      </w:r>
    </w:p>
    <w:p>
      <w:r>
        <w:t>Genau dies macht aber der Beschwerdeführer geltend. Er habe während des Straf­voll­zugs keine schriftliche Kenntnis von einer innert Frist zu leistenden Kos­ten­auflage erhalten und vermute einen Fehler bei der Post oder im Zustellungsablauf der Straf­anstalt. Erst anlässlich einer persönlichen Vorsprache bei seinem (ersten) Anwalt am 7. De­zember 1999 will er erfahren haben, dass dieser ihm die Verfügung der Staats­kanz­lei vom 17. August 1999 betreffend Leistung eines Kostenvorschusses zugestellt habe. In der Folge habe er unverzüglich einen neuen Rechtsvertreter gesucht, durch diesen inner­halb von zehn Tagen seit dem 7. Dezember 1999 ein Fristwiederherstellungsgesuch einrei­chen lassen und er habe die Kaution einbezahlt. In der Beschwerde wird noch darauf hin­ge­wie­sen, dass der (erste) Rechtsvertreter die Abklärung der Umstände der Zustellung der Ver­fügung vom 17. August 1999 zugesichert habe. Aus den Akten sind jedoch keine neuen Erkenntnisse er­sicht­lich. Indessen kommt es auf die genannten Umstände auch nicht an. Aus dem darge­stell­ten pflichtgemässen Ablauf muss auf eine Sorgfaltspflichtsverletzung des (ersten) Rechts­ver­treters geschlossen werden, wird doch weder aus den Akten ersichtlich noch in der Be­schwer­de geltend gemacht, dieser habe sich vor Fristablauf vergewissert, dass der Be­schwer­deführer die Fristansetzung erhalten habe und die Einzahlung der Kaution frist­ge­mäss erfolgen werde beziehungsweise bereits erfolgt sei. Im Gegenteil, der Beschwerde­füh­rer macht geltend, dass er eben bis zum 7. Dezember 1999 von der Kautionsauflage kei­ne Kenntnis gehabt habe. Damit behauptet er nichts anderes, als dass sein (erster) Rechts­ver­treter grob unsorgfältig gehandelt habe. Dieses Verhalten muss er sich als sein eigenes anrechnen lassen. Die Beteuerungen, dass ihn persönlich keine Schuld an der ver­säumten Frist treffe, brauchen nicht näher abgeklärt zu werden; sie sind irrelevant. Damit ist die Be­schwer­de abzuweisen.</w:t>
      </w:r>
    </w:p>
    <w:p>
      <w:r>
        <w:rPr>
          <w:b/>
        </w:rPr>
        <w:t>E. 4</w:t>
      </w:r>
    </w:p>
    <w:p>
      <w:r>
        <w:t>Das Begehren um eine vorsorgliche Massnahme, welche die Aufenthaltsberech­tigung des Beschwerdeführers während der Verfahrensdauer zu regeln hätte, ist mit dem vor­liegenden Endentscheid gegenstandslos geworden.</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