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VB.1999.00359 vom 17. Februar 2000</w:t>
      </w:r>
    </w:p>
    <w:p>
      <w:r>
        <w:t>ZH Verwaltungsgericht, 2000-02-17, DE</w:t>
      </w:r>
    </w:p>
    <w:p>
      <w:r>
        <w:rPr>
          <w:b/>
        </w:rPr>
        <w:t xml:space="preserve">Quelle: </w:t>
      </w:r>
      <w:r>
        <w:t>https://mcp.opencaselaw.ch/entscheid/zh_verwaltungsgericht__VB.1999.00359</w:t>
      </w:r>
    </w:p>
    <w:p>
      <w:r>
        <w:t>FR: ZH_VERWALTUNGSGERICHT VB.1999.00359 du 17 février 2000</w:t>
      </w:r>
    </w:p>
    <w:p>
      <w:r>
        <w:t>IT: ZH_VERWALTUNGSGERICHT VB.1999.00359 del 17 febbraio 2000</w:t>
      </w:r>
    </w:p>
    <w:p>
      <w:pPr>
        <w:pStyle w:val="Heading2"/>
      </w:pPr>
      <w:r>
        <w:t>Regeste</w:t>
      </w:r>
    </w:p>
    <w:p>
      <w:r>
        <w:t>Submission | Vergabe eines Architekturauftrags für die Renovation eines Schulhauses im selektiven Verfahren. Eignungskriterien: Die Ortsansässigkeit ist sowohl als Eignungs- wie auch als Zuschlagskriterium grundsätzlich unzulässig (E. 4b.aa). Auswahl der Anbieter bei beschränkter Teilnehmerzahl im selektiven Verfahren: Wird die Zahl der Teilnehmer im selektiven Verfahren beschränkt, hat die Vergabebehörde in den Ausschreibungsunterlagen das Auswahlverfahren für den Fall bekanntzugeben, dass die Eignungskriterien von einer grösseren Anzahl Interessenten erfüllt werden, als aufgrund der Beschränkung zugelassen werden. Insbesondere muss die Gewichtung der dabei verwendeten Kriterien bereits in den Ausschreibungsunterlagen ersichtlich sein und dürfen keine vergabefremden Kriterien (wie z.B. Ortsansässigkeit) zur Anwendung gelangen (E. 4b.bb, 4c). Beschwerdeentscheid: Anordnung, den Beschwerdeführer zum Angebot einzuladen (E. 5).</w:t>
      </w:r>
    </w:p>
    <w:p>
      <w:pPr>
        <w:pStyle w:val="Heading2"/>
      </w:pPr>
      <w:r>
        <w:t>Erwägungen</w:t>
      </w:r>
    </w:p>
    <w:p>
      <w:r>
        <w:rPr>
          <w:b/>
        </w:rPr>
        <w:t>E. 1</w:t>
      </w:r>
    </w:p>
    <w:p>
      <w:r>
        <w:t>a) 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 b) Die Auswahl der Teilnehmerinnen und Teilnehmer im selektiven Verfahren wird in § 4 lit. c IVöB-BeitrittsG ausdrücklich als anfechtbarer Entscheid bezeichnet. Der Be­schwer­deführer ist daher zur Beschwerde gegen den Entscheid der Beschwerdegegnerin, mit welchem ihm die Einreichung eines Angebots verwehrt wurde, befugt. Die Beschwer­delegitimation wird im Übrigen auch von der Beschwerdegegnerin nicht in Frage gestellt.</w:t>
      </w:r>
    </w:p>
    <w:p>
      <w:r>
        <w:rPr>
          <w:b/>
        </w:rPr>
        <w:t>E. 2</w:t>
      </w:r>
    </w:p>
    <w:p>
      <w:r>
        <w:t>Die in Frage stehende Beschaffung wird vom Geltungsbereich der Interkantona­len Vereinbarung über das öffentliche Beschaffungswesen nicht erfasst. Die Gemeinden wurden jedoch vom Regierungsrat gestützt auf § 2 Abs. 2 IVöB-BeitrittsG mit Wirkung ab 1. Januar 1999 in die kantonale Regelung des Beschaffungswesens gemäss Beitrittsgesetz und Sub­mis­sions­ver­ord­nung einbezogen (RRB Nr. 1501 vom 1. Juli 1998; LS 720.111) und unterstehen damit auch in Bezug auf den Ablauf des Vergabeverfahrens und die ma­te­rielle Behandlung der Angebote den Bestimmungen des kantonalen Rechts. Die an­ge­foch­tene Vergabe ist daher nach diesen Regeln zu beurteilen.</w:t>
      </w:r>
    </w:p>
    <w:p>
      <w:r>
        <w:rPr>
          <w:b/>
        </w:rPr>
        <w:t>E. 3</w:t>
      </w:r>
    </w:p>
    <w:p>
      <w:r>
        <w:t>Der Beschwerdeführer verlangt unter anderem die Wiederholung des Präqualifi­kationsverfahrens durch eine unabhängige Instanz. Diesem Begehren kann von vornherein nicht entsprochen werden. Das Verwaltungsgericht ist nicht befugt, in die Zuständigkeit der Beschwerdegegnerin einzugreifen. Unter den gegebenen Umständen kann das Verwal­tungsgericht aber ‑ im Falle einer Gutheissung der Beschwerde ‑ den angefochtenen Ent­scheid aufheben und die Beschwerdegegnerin verpflichten, den Beschwerdeführer eben­falls zur Offertstellung einzuladen.</w:t>
      </w:r>
    </w:p>
    <w:p>
      <w:r>
        <w:rPr>
          <w:b/>
        </w:rPr>
        <w:t>E. 4</w:t>
      </w:r>
    </w:p>
    <w:p>
      <w:r>
        <w:t>Versichert (min. 1'000'000) 1</w:t>
      </w:r>
    </w:p>
    <w:p>
      <w:r>
        <w:rPr>
          <w:b/>
        </w:rPr>
        <w:t>E. 5</w:t>
      </w:r>
    </w:p>
    <w:p>
      <w:r>
        <w:t>Gute Referenzen (Erfahrung im Schulhausbau) 1</w:t>
      </w:r>
    </w:p>
    <w:p>
      <w:r>
        <w:rPr>
          <w:b/>
        </w:rPr>
        <w:t>E. 6</w:t>
      </w:r>
    </w:p>
    <w:p>
      <w:r>
        <w:t>Im Büro sollten 4 Mitarbeiter fest angestellt sein 2</w:t>
      </w:r>
    </w:p>
    <w:p>
      <w:r>
        <w:rPr>
          <w:b/>
        </w:rPr>
        <w:t>E. 7</w:t>
      </w:r>
    </w:p>
    <w:p>
      <w:r>
        <w:t>Lehrlingsausbildung 1</w:t>
      </w:r>
    </w:p>
    <w:p>
      <w:r>
        <w:rPr>
          <w:b/>
        </w:rPr>
        <w:t>E. 8</w:t>
      </w:r>
    </w:p>
    <w:p>
      <w:r>
        <w:t>Buchhaltung mit EDV / ausgerüstet mit CAD 0 Total Punktezahl</w:t>
      </w:r>
    </w:p>
    <w:p>
      <w:r>
        <w:rPr>
          <w:b/>
        </w:rPr>
        <w:t>E. 12</w:t>
      </w:r>
    </w:p>
    <w:p>
      <w:r>
        <w:t>Nach den dargelegten Grundsätzen darf die Ortsansässigkeit im Rahmen der Prä­qua­lifikation grundsätzlich keine Rolle spielen. Vorliegend ist auch nicht ersichtlich, in­wie­fern sich die etwas längeren Anfahrtswege des in der Stadt Zürich domizilierten Be­schwerdeführers nachteilig auswirken sollten. Dass die grös­sere Distanz den Beschwerde­führer an einer termin­gerechten und fachlich einwandfreien Erledigung des Auftrags hin­dern könnte, ist nicht anzunehmen und wird von der Beschwerdegegnerin auch nicht kon­kret begründet. Jedenfalls wird dadurch seine finanzielle, wirtschaftliche, fachliche oder organisatorische Leistungs­fähigkeit und damit seine Eignung nicht in Frage gestellt. Indem die Beschwerdegegnerin die Ortsansässigkeit im Rahmen der Zulassung zur Offertstellung berücksichtigte, verstiess sie gegen das fundamentale Gebot der Gleichbe­handlung der Anbietenden. Dabei spielt es keine Rolle, ob die Ortsansässigkeit als Eig­nungs­kriterium oder ‑ wie die Beschwerdegegnerin behauptet ‑ als zusätzliches Kriterium zur Auswahl der grundsätzlich geeigneten Anbietenden zur Anwendung gelangte. Das Vor­gehen der Beschwerdegegnerin erweist sich schon aus diesem Grund als unzulässig. bb) Abgesehen von der generellen Unzulässigkeit des Kriteriums der Ortsansässig­keit unterliess es die Beschwerdegegnerin auch, in den Ausschreibungsunterlagen auf die­ses Kriterium und dessen Gewichtung bei der Auswahl der Teilnehmenden hinzuweisen. In der publizierten Ausschreibung wurde erwähnt, für die Selektion komme eine Kriterienliste für die fachliche Beurteilung der Anbieterinnen und Anbieter zur Anwendung; die Bewer­berinnen und Bewerber müssten sich über "Fachkenntnisse in folgenden Bereichen auswei­sen: Renovationserfahrung mit Referenzen im Schulhausbau, in Sanierungsprojekten und Erfahrung mit Denkmalschutzobjekten". Sodann würden nur Bewerberinnen und Bewerber zugelassen, welche anhand eines Fragebogens ihre finanzielle, wirtschaftliche, fachliche und organisatorische Eignung nachwiesen. In den Ausschreibungsunterlagen (Fragebogen; act. 5/2 S. 3) wurden folgende Eignungskriterien bekanntgegeben: Vollständigkeit der Be­werbung, Erfahrung und fachspezifisches Wissen des Architekturbüros, Organisation des Büros, vorhandene Kapazität, Referenzen vergleichbarer Objekte mit Referenzperso­nen, Lehrlingsausbildung, Handelsregisterauszug und Angaben zur Bonität. Demgegenüber wur­den weder das Kriterium der Ortsansässigkeit noch dessen Gewichtung bei der Aus­wahl der einzuladenden Anbietenden in der Ausschreibung bzw. in den Ausschreibungs­unterlagen erwähnt. Auch die Gewichtung der weiteren angewendeten Kriterien, die erst unmittelbar vor dem Öffnen der eingegangenen Bewerbungen und des Auswahlentscheids definitiv festgelegt und gegenüber den Ausschreibungsunterlagen teilweise umformuliert wurden (act. 10/16), blieb in der publizierten Ausschreibung sowie in den Ausschreibungs­unterlagen unerwähnt. Die Interessenten hatten somit keine Möglichkeit, diesen Eignungs‑ bzw. Auswahlkriterien entsprechend deren Gewichtung bei der Ausarbeitung des Teilnah­megesuchs Rechnung zu tragen. Das Vorgehen der Beschwerdegegnerin war nach den dar­gelegten Grundsätzen nicht zulässig. Dabei kann offen gelassen werden, ob die in den Aus­schreibungsunterlagen erwähnten Eignungskriterien als solche überhaupt zulässig sind. 5. Die strittigen Bewertungen im Zusammenhang mit dem Kriterium der Ortsansäs­sigkeit betreffen vier Punkte. Wird von der Berücksichtigung dieses unzulässigen Krite­riums abgesehen, erreicht der Beschwerdeführer die maximale Punktzahl und ist damit bes­ser platziert als andere Bewerberinnen und Bewerber, welche von der Beschwerdegeg­nerin zur Offertstellung eingeladen wurden. Die Verfügung der Vergabeinstanz, mit wel­cher der Beschwerdeführer nicht zum Angebot zugelassen wurde, ist deshalb nicht haltbar. Der Ent­scheid ist in Gutheissung der Beschwerde aufzuheben, und der Beschwerdeführer ist zum Einreichen eines Angebots innert einer angemessenen Frist zuzulassen. 6. ... Demgemäss entscheidet das Verwaltungsgericht: 1.    Die Beschwerde wird gutgeheissen und der angefochtene Entscheid aufgehoben. Die Beschwerdegegnerin wird verpflichtet, den Beschwerdeführer zur detaillierten Offert­stellung für die Renovation des Schulhauses G., D., einzuladen.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