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SR.2024.00015 vom 8. Oktober 2024</w:t>
      </w:r>
    </w:p>
    <w:p>
      <w:r>
        <w:t>ZH Verwaltungsgericht, 2024-10-08, DE</w:t>
      </w:r>
    </w:p>
    <w:p>
      <w:r>
        <w:rPr>
          <w:b/>
        </w:rPr>
        <w:t xml:space="preserve">Quelle: </w:t>
      </w:r>
      <w:r>
        <w:t>https://mcp.opencaselaw.ch/entscheid/zh_verwaltungsgericht__SR.2024.00015</w:t>
      </w:r>
    </w:p>
    <w:p>
      <w:r>
        <w:t>FR: ZH_VERWALTUNGSGERICHT SR.2024.00015 du 8 octobre 2024</w:t>
      </w:r>
    </w:p>
    <w:p>
      <w:r>
        <w:t>IT: ZH_VERWALTUNGSGERICHT SR.2024.00015 del 8 ottobre 2024</w:t>
      </w:r>
    </w:p>
    <w:p>
      <w:pPr>
        <w:pStyle w:val="Heading2"/>
      </w:pPr>
      <w:r>
        <w:t>Regeste</w:t>
      </w:r>
    </w:p>
    <w:p>
      <w:r>
        <w:t>Nachsteuern (Staats- und Gemeindesteuern 2013-2018) | [Bestätigung der Nachbesteuerung von kapitalisierten Kinderalimenten, welche zu Unrecht steuerlich in Abzug gebracht wurden; demgegenüber mangelt es für eine Nachbesteuerung der kapitalisierten Ehegattenunterhaltsbeiträge an einer neuen Tatsache.] Da das Verwaltungsgericht in Nachsteuerverfahren als erste gerichtliche Instanz volle Kognition und das materielle Recht von Amtes wegen anzuwenden hat, erweist sich die Ausdehnung des Streitgegenstandes als zulässig (E. 1.3). Eine jährliche Einreichung desselben Scheidungsurteils durch den Pflichtigen erscheint für eine korrekte Veranlagung weder erforderlich noch zweckmässig. Vielmehr wäre es der zuständigen Steuerbehörde im Rahmen der Veranlagung der Steuerperiode 2013 oblegen, die steuerliche Abzugsfähigkeit der deklarierten Unterhaltsbeiträge hinreichend zu überprüfen, zumal die Behörde Abklärungen in diesem Zusammenhang tätigte. Hingegen erwies sich die Untersuchung der Steuerbehörde als ungenügend. Wie dem (zu diesem Zeitpunkt auszugsweise vorliegenden) Scheidungsurteil unmissverständlich entnommen werden kann, wurde eine Kapitalisierung des nachehelichen Unterhalts vorgesehen, welche von der güterrechtlichen Ausgleichszahlung der vormaligen Ehefrau des Pflichtigen an ihn in Abzug gebracht wurde. Die Steuerbehörde liess die durch den Pflichtigen deklarierten Unterhaltsbeiträge ungeachtet dessen zum Abzug zu. Somit liegt in Bezug auf den nachehelichen Unterhalt keine neue Tatsache vor, welche auf einen unvollständig offengelegten Sachverhalt zurückzuführen wäre (E. 2.6.2). Im Gegensatz zu den Ehegattenalimenten legte der Pflichtige den Sachverhalt hinsichtlich der zum Teil kapitalisierten Kinderunterhaltsbeiträge in der Steuerperiode 2013 nicht vollständig offen. […] Folglich lagen in Bezug auf die Kinderalimente aus Sicht der Behörde im Jahr 2021 neue Tatsachen vor, welche die Eröffnung des Nachsteuerverfahrens rechtfertigten (E. 2.6.3). Teilweise Gutheissung des Rekurses und der Beschwerde sowie Rückweisungder Sache an die Vorinstanz zur Neuberechnung der Nachsteuern im Sinn der Erwägungen.</w:t>
      </w:r>
    </w:p>
    <w:p>
      <w:pPr>
        <w:pStyle w:val="Heading2"/>
      </w:pPr>
      <w:r>
        <w:t>Erwägungen</w:t>
      </w:r>
    </w:p>
    <w:p>
      <w:r>
        <w:rPr>
          <w:b/>
        </w:rPr>
        <w:t>E. 3.1</w:t>
      </w:r>
    </w:p>
    <w:p>
      <w:r>
        <w:t>Nach § 151 Abs. 1 in Verbindung mit § 153 Abs. 4 StG bzw. Art. 144 Abs. 1 DBG in Verbindung mit Art. 145 Abs. 2 DBG sind die Gerichtskosten der unterliegenden Partei aufzuerlegen. Bei teilweiser Gutheissung werden die Kosten anteilsmässig aufgeteilt.</w:t>
      </w:r>
    </w:p>
    <w:p>
      <w:r>
        <w:rPr>
          <w:b/>
        </w:rPr>
        <w:t>E. 3.2</w:t>
      </w:r>
    </w:p>
    <w:p>
      <w:r>
        <w:t>Vorliegend unterliegt der Pflichtige im Rekurs- und Beschwerdeverfahren dahingehend, dass ihm für die kapitalisierten Kinderunterhaltsbeiträge Nachsteuern aufzuerlegen sind. Indes können ihm für die kapitalisierten Ehegattenunterhaltsbeiträge keine Nachsteuern auferlegt werden, was als Obsiegen zu werten ist. In der gesamthaft erfolgenden Rückweisung der Sache an die Vorinstanz ist ebenfalls ein teilweises Obsiegen des Pflichtigen zu erblicken. Es erscheint daher angemessen die Gerichtskosten des Rekurs- und Beschwerdeverfahrens zu 1/2 dem Rekurs- und Beschwerdegegner und zu 1/2 dem Pflichtigen aufzuerlegen.</w:t>
      </w:r>
    </w:p>
    <w:p>
      <w:r>
        <w:rPr>
          <w:b/>
        </w:rPr>
        <w:t>E. 3.3</w:t>
      </w:r>
    </w:p>
    <w:p>
      <w:r>
        <w:t>Für die Zusprache einer Parteientschädigung im Rekursverfahren gilt § 17 Abs. 2 VRG sinngemäss (§ 152 StG in Verbindung mit § 153 Abs. 4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Rechtsbeistandes rechtfertigte, oder b) ihre Rechtsbegehren oder die angefochtene Anordnung offensichtlich unbegründet waren. 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darauf, dass die Vertretung bei einem Instanzenzug, in welchem das Verwaltungsgericht als zweite gerichtliche Instanz tätig ist, in der Regel deutlich weniger aufwendig ist als im ersten gerichtlichen Verfahren. Da das Verwaltungsgericht vorliegend jedoch die erste gerichtliche Instanz ist, erscheint gerechtfertigt, d ie nach § 4 Abs. 1 AnwGebV berechnete Grundgebühr für das Rekurs- und Beschwerdeverfahren auf zwei Drittel herabzusetzen.</w:t>
      </w:r>
    </w:p>
    <w:p>
      <w:r>
        <w:rPr>
          <w:b/>
        </w:rPr>
        <w:t>E. 3.4</w:t>
      </w:r>
    </w:p>
    <w:p>
      <w:r>
        <w:t>In Anwendung der vorgenannten Grundsätze sowie unter Berücksichtigung des bloss hälftigen Obsiegens des Pflichtigen im Rekurs- und Beschwerdeverfahren erscheint eine Entschädigung von Fr. … (Mehrwertsteuer inbegriffen) für das Rekursverfahren betreffend Nachsteuern (Staats- und Gemeindesteuern 2013–2018) und von Fr. … (Mehrwertsteuer inbegriffen) für das Beschwerdeverfahren betreffend Nachsteuern (direkte Bundessteuer 2013–2018) angemessen.</w:t>
      </w:r>
    </w:p>
    <w:p>
      <w:r>
        <w:rPr>
          <w:b/>
        </w:rPr>
        <w:t>E. 3.5</w:t>
      </w:r>
    </w:p>
    <w:p>
      <w:r>
        <w:t>Dem kantonalen Steueramt steht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r>
        <w:rPr>
          <w:b/>
        </w:rPr>
        <w:t>E. 4</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mit Hinweisen). Vorliegend dient die Rückweisung jedoch einzig der rechnerischen Umsetzung des oberinstanzlich Angeordneten und verbleibt der Verwaltung keine Entscheidungsfreiheit, weshalb der vorliegende Rückweisungsentscheid ausnahmsweise als Endentscheid im Sinn von Art. 90 BGG gilt (BGE 136 V 195 bzw. BGr, 25. Mai 2010, 8C_517/2009, nicht publizierte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