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SR.2005.00006 vom 24. August 2005</w:t>
      </w:r>
    </w:p>
    <w:p>
      <w:r>
        <w:t>ZH Verwaltungsgericht, 2005-08-24, DE</w:t>
      </w:r>
    </w:p>
    <w:p>
      <w:r>
        <w:rPr>
          <w:b/>
        </w:rPr>
        <w:t xml:space="preserve">Quelle: </w:t>
      </w:r>
      <w:r>
        <w:t>https://mcp.opencaselaw.ch/entscheid/zh_verwaltungsgericht__SR.2005.00006</w:t>
      </w:r>
    </w:p>
    <w:p>
      <w:r>
        <w:t>FR: ZH_VERWALTUNGSGERICHT SR.2005.00006 du 24 août 2005</w:t>
      </w:r>
    </w:p>
    <w:p>
      <w:r>
        <w:t>IT: ZH_VERWALTUNGSGERICHT SR.2005.00006 del 24 agosto 2005</w:t>
      </w:r>
    </w:p>
    <w:p>
      <w:pPr>
        <w:pStyle w:val="Heading2"/>
      </w:pPr>
      <w:r>
        <w:t>Regeste</w:t>
      </w:r>
    </w:p>
    <w:p>
      <w:r>
        <w:t>Nachsteuern 2002 und 2003 (Staats- und Gemeindesteuern) | Die vom kantonalen Steueramt erlassene Nachsteuerverfügung sowie der Einspracheentscheid sind nicht gehörig begründet, so dass der Entscheid nicht nachvollziehbar und schlüssig ist, sondern Fragen offen lässt und Widersprüche enthält. Ausserdem ist die Festsetzung der Nachsteuer samt Zinsen nicht ersichtlich. Rückweisung.</w:t>
      </w:r>
    </w:p>
    <w:p>
      <w:pPr>
        <w:pStyle w:val="Heading2"/>
      </w:pPr>
      <w:r>
        <w:t>Erwägungen</w:t>
      </w:r>
    </w:p>
    <w:p>
      <w:r>
        <w:rPr>
          <w:b/>
        </w:rPr>
        <w:t>E. 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laut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2</w:t>
      </w:r>
    </w:p>
    <w:p>
      <w:r>
        <w:t>Nachsteuerverfügungen und Einspracheentscheide sind nach § 126 Abs. 1 StG den Beteiligten mit Begründung schriftlich mitzuteilen.</w:t>
      </w:r>
    </w:p>
    <w:p>
      <w:r>
        <w:rPr>
          <w:b/>
        </w:rPr>
        <w:t>E. 2.1</w:t>
      </w:r>
    </w:p>
    <w:p>
      <w:r>
        <w:t>Die Begründung ist jedenfalls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Schliesslich ermöglicht die vorinstanzliche Begründung dem Verwaltungsgericht die Überprüfung der angefochtenen Entscheidung. Das kantonale Steueramt muss sich – auch im Einspracheentscheid –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Verfügungen und Entscheide im Nachsteuerverfahren. Deren Begründung hat insbesondere auch darzulegen, dass und inwiefern im Einzelnen die Voraussetzungen einer Nachsteuererhebung erfüllt sind, insbesondere neue Tatsachen und Beweismittel und ein Steuerausfall vorliegen.</w:t>
      </w:r>
    </w:p>
    <w:p>
      <w:r>
        <w:rPr>
          <w:b/>
        </w:rPr>
        <w:t>E. 2.2</w:t>
      </w:r>
    </w:p>
    <w:p>
      <w:r>
        <w:t>Die rudimentäre Begründung des angefochtenen Entscheids ist hinsichtlich der Festsetzung des steuerbaren Einkommens der Steuerperiode 2002 weder nachvollziehbar noch schlüssig, vielmehr enthält sie zum Teil Widersprüche und lässt verschiedene Fragen offen. Ausserdem ist die Festsetzung der Nachsteuer samt Zinsen nicht ersichtlich.</w:t>
      </w:r>
    </w:p>
    <w:p>
      <w:r>
        <w:rPr>
          <w:b/>
        </w:rPr>
        <w:t>E. 2.2.1</w:t>
      </w:r>
    </w:p>
    <w:p>
      <w:r>
        <w:t>In der Begründung der Nachsteuerverfügung (Erwägung 1b) und des Einspracheentscheids (Erwägung D) wird ausgeführt, dass der Rekurrent in den Jahren 2002 und 2003 für die von ihm beherrschte B AG, X (ausserhalb des Kantons Zürich), gearbeitet habe. Einen Teil dieser Tätigkeit habe sich dieser anstelle von Lohnzahlungen mittels Darlehen vergüten lassen, da er habe verhindern wollen, dass die Gesellschaft einen Verlust ausweise. Er habe "besagte Zahlungen" nicht deklariert, womit er eine Unterbesteuerung bewirkt habe. Da sich in der bei den Akten liegenden Zusammenstellung der Nachsteuergrundlagen eine Position "nicht mehr akzeptierte Erhöhung Darlehen an Aktionär" von Fr. … (2002) und Fr. … (2003) findet, ist zwar davon auszugehen, dass das kantonale Steueramt diese Beträge als nicht deklarierten Lohn betrachtet. Indessen vermag das Verwaltungsgericht den vorinstanzlichen Verfügungen keine weiteren Sachdarstellungen zu entnehmen, welche es erlaubten, die erwähnten Darlehenserhöhungen als Lohnansprüche zu würdigen, zumal der Rekurrent bestreitet, von der B AG geldwerte Leistungen irgendwelcher Art erhalten zu haben. Wenn sich der Rekurrent Lohnansprüche von der Gesellschaft nicht hat auszahlen, sondern als Darlehensforderung gutschreiben lassen, müsste diese Forderung – gekürzt um die Sozialversicherungsbeiträge – als Lohnaufwand der Gesellschaft verbucht sein. In den Unterlagen der ausserkantonalen Steuerbehörden werden die betreffenden Beträge indessen lediglich als nicht begründete Aufwendungen bzw. verdeckte Gewinnausschüttungen bezeichnet. Sollte schliesslich der Rekurrent seine Lohnansprüche als Darlehen gewährt haben, weil sonst die Gesellschaft nicht zahlungsfähig wäre, so müsste geprüft werden, ob die Erfüllung der Ansprüche nicht besonders unsicher gewesen war und daher für den zeitlichen Zufluss des Lohneinkommens auf die spätere Auszahlung abzustellen wäre. Dem Verwaltungsgericht ist es jedenfalls nicht zuzumuten, sich aus den Akten all jene Tatsachen zusammenzusuchen und nach rechtlichen Argumenten zu forschen, von denen sich das kantonale Steueramt bei der Ausfällung der streitbetroffenen Nachsteuern möglicherweise hat leiten lassen. Es ist auch nicht Sache des Gerichts, den Sachverhalt von Grund auf abzuklären. Dies wird Aufgabe des kantonalen Steueramts im zweiten Rechtsgang sein.</w:t>
      </w:r>
    </w:p>
    <w:p>
      <w:r>
        <w:rPr>
          <w:b/>
        </w:rPr>
        <w:t>E. 2.2.2</w:t>
      </w:r>
    </w:p>
    <w:p>
      <w:r>
        <w:t>Im Einspracheentscheid hat das kantonale Steueramt erwogen, zur Zeit der Entdeckung dieses Sachverhalts sei die Einschätzung für die Steuerperiode 2003 noch nicht rechtskräftig gewesen. Gestützt darauf hat es die Einstellung des Nachsteuerverfahrens mit Bezug auf die Steuerperiode 2003 verfügt. Das Steueramt hat jedoch versäumt, die verbleibende Nachsteuer für die Steuerperiode 2002 im Verfügungsdispositiv des Einspracheentscheids festzulegen. Das kantonale Steueramt wird gegebenenfalls auch diesen Mangel im Neuentscheid zu beheben haben. Das führt zur teilweisen Gutheissung des Rekurses.</w:t>
      </w:r>
    </w:p>
    <w:p>
      <w:r>
        <w:rPr>
          <w:b/>
        </w:rPr>
        <w:t>E. 3</w:t>
      </w:r>
    </w:p>
    <w:p>
      <w:r>
        <w:t>Angesichts des letztlich ungewissen Ausgangs des Nachsteuerverfahrens sind die Gerichtskosten den Parteien je zur Hälfte aufzuerlegen (§ 151 Abs. 1 StG in Verbindung mit § 153 Abs. 4 und § 162 Abs. 3 StG) und steht dem Rekurrenten keine Parteientschädigung zu (§ 17 Abs. 2 des Verwaltungsrechtspflegegesetzes vom 24. Mai 1959 in Verbindung mit § 152, § 153 Abs. 4 und § 162 Abs. 3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