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SR.2001.00016 vom 24. Oktober 2001</w:t>
      </w:r>
    </w:p>
    <w:p>
      <w:r>
        <w:t>ZH Verwaltungsgericht, 2001-10-24, DE</w:t>
      </w:r>
    </w:p>
    <w:p>
      <w:r>
        <w:rPr>
          <w:b/>
        </w:rPr>
        <w:t xml:space="preserve">Quelle: </w:t>
      </w:r>
      <w:r>
        <w:t>https://mcp.opencaselaw.ch/entscheid/zh_verwaltungsgericht__SR.2001.00016</w:t>
      </w:r>
    </w:p>
    <w:p>
      <w:r>
        <w:t>FR: ZH_VERWALTUNGSGERICHT SR.2001.00016 du 24 octobre 2001</w:t>
      </w:r>
    </w:p>
    <w:p>
      <w:r>
        <w:t>IT: ZH_VERWALTUNGSGERICHT SR.2001.00016 del 24 ottobre 2001</w:t>
      </w:r>
    </w:p>
    <w:p>
      <w:pPr>
        <w:pStyle w:val="Heading2"/>
      </w:pPr>
      <w:r>
        <w:t>Regeste</w:t>
      </w:r>
    </w:p>
    <w:p>
      <w:r>
        <w:t>Steuersicherung | Die Sicherstellung von mutmasslich geschuldeten Bussen, Zinsen auf der Nachsteuer und Bezugskosten ist ebenso zulässig wie die Sicherstellung der Nachsteuer selbst.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...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