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SR.2000.00029 vom 26. Januar 2000</w:t>
      </w:r>
    </w:p>
    <w:p>
      <w:r>
        <w:t>ZH Verwaltungsgericht, 2000-01-26, DE</w:t>
      </w:r>
    </w:p>
    <w:p>
      <w:r>
        <w:rPr>
          <w:b/>
        </w:rPr>
        <w:t xml:space="preserve">Quelle: </w:t>
      </w:r>
      <w:r>
        <w:t>https://mcp.opencaselaw.ch/entscheid/zh_verwaltungsgericht__SR.2000.00029</w:t>
      </w:r>
    </w:p>
    <w:p>
      <w:r>
        <w:t>FR: ZH_VERWALTUNGSGERICHT SR.2000.00029 du 26 janvier 2000</w:t>
      </w:r>
    </w:p>
    <w:p>
      <w:r>
        <w:t>IT: ZH_VERWALTUNGSGERICHT SR.2000.00029 del 26 gennaio 2000</w:t>
      </w:r>
    </w:p>
    <w:p>
      <w:pPr>
        <w:pStyle w:val="Heading2"/>
      </w:pPr>
      <w:r>
        <w:t>Regeste</w:t>
      </w:r>
    </w:p>
    <w:p>
      <w:r>
        <w:t>Nachsteuern 1992-1997 | Ausstandspflicht; Nachsteuergrundlagen Ablehnung des Ausstandsbegehrens gegen Verwaltungsrichter Q. Abweisung von Sistierungs- und Rückweisungsantrag. Pflichtige deklarierten Einlage in "X Portfolio Management" überhaupt nicht. Da diese Erträge zugeflossen sind und sich im Bereich der Massenverwaltung der Steuerkommissär grundsätzlich auf die vollständige, widerspruchsfreie und nachvollziehbare Deklaration der Pflichtigen verlassen darf, liegen Unterbesteuerung wie auch neue Tatsache vor und wurde die Nachsteuer zu Recht erhoben. Eine staatsrechtliche Beschwerde gegen diesen Entscheid wurde vom Bundesgericht als durch Rückzug erledigt abgeschrieben.</w:t>
      </w:r>
    </w:p>
    <w:p>
      <w:pPr>
        <w:pStyle w:val="Heading2"/>
      </w:pPr>
      <w:r>
        <w:t>Erwägungen</w:t>
      </w:r>
    </w:p>
    <w:p>
      <w:r>
        <w:rPr>
          <w:b/>
        </w:rPr>
        <w:t>E. 3</w:t>
      </w:r>
    </w:p>
    <w:p>
      <w:r>
        <w:t>a) Der Zuwachs der Gutha­ben bei X  Portfolio Management stellt Vermögenser­trag im Sinn von § 19 lit. c aStG dar, und ist nicht etwa als Kapitalgewinn zu würdigen. Heute ist den Pflichtigen wie auch den Steuerbehörden bekannt, dass die entspre­chenden Guthaben zu keiner Zeit aus einzelnen Wertschriften oder Anteilen an Titeln be­standen haben, die aus den zu einem Pool zusammengefassten und von X  Portfolio Management verwalteten Vermö­genswerten erworben worden wären. Die einge­zahlten Geldsummen sind nicht in andere Vermögenswerte umgesetzt worden. Sie sind damit weder rechtlich noch wirtschaftlich aus dem Vermögen der Pflichtigen ausgeschieden. Aus dem Guthaben der Pflichtigen bei X Portfolio Management abgelei­tete Ansprüche, wel­che über die Rücklei­s­tung der Einlage hinausreichen, generieren mithin nicht Kapitalge­winn, sondern Vermö­genser­trag (vgl. VGr, 26. Januar 2000, SB.1999.00044 = ZStP 2000, 191 ff., mit Hinwei­sen). b) Sodann ist besagter Vermögenser­trag als jeweilen per Jahresende realisiert zu würdigen. Die Pflichtigen haben über den Anspruch verfügt, indem sie auf einen Rückzug der Einlage oder eines Teils davon ver­zich­tet und das Guthaben weiterhin der Verwaltung durch X Portfolio Mana­ge­ment unterstellt haben. Ebenso ist erstellt, dass die Rückleistung der Einlagen und papiermässig ausgewiesenen Gewinne durch X  Portfolio Mana­ge­ment in der fraglichen Steuerperiode durchaus noch möglich gewe­sen wäre (vgl. VGr, 26. Januar 2000, SB.1999.00044 = ZStP 2000, 191 ff., mit Hinwei­sen). Damit ist die Unterbesteuerung im Ausmass, wie sie in der angefochtenen Verfü­gung festgestellt wird, ausgewiesen. c) Die Pflichtigen bestreiten letztlich im Rekursverfahren nicht das Vorliegen einer neuen Tatsache. Sie sind im Gegenteil geständig, ihre Vermögenswerte bei "X Portfolio Mana­ge­ment" sowie weitere, in der Selbstanzeige genannte Werte, in ihrem Wertschriften­verzeichnis nicht deklariert zu haben. Seltsam mutet diesbezüglich im Übri­gen an, dass die Pflichtigen im Rekurs eventualiter beantragen, die gesamte Nachsteuer sei aufzuheben; weshalb die auf der Selbstanzeige des nicht deklarierten Depots beruhenden, nicht mit Einsprache angefochtenen und damit diesbezüglich auch umfangmässig akzep­tierten Nach­steuern plötzlich ohne Grundlage sein sollten, wird denn auch mit keiner Silbe erwähnt. d) Auf Ausführungen in der Rekursschrift, welche sich auf die Busse beziehen wie auch den eventualiter gestellten Sisterungsantrag, kann zufolge fehlendem Anfechtungs­objekt nicht eingetreten werden: Das diesbezügliche Verfahren ist nicht Gegenstand des vorliegenden Rekursverfahrens. Dies führt zur Abweisung des Rekurses, soweit auf ihn überhaupt eingetreten wer­den kann.</w:t>
      </w:r>
    </w:p>
    <w:p>
      <w:r>
        <w:rPr>
          <w:b/>
        </w:rPr>
        <w:t>E. 4</w:t>
      </w:r>
    </w:p>
    <w:p>
      <w:r>
        <w:t>... Demgemäss entscheidet das Verwaltungsgericht: 1. Der Rekurs wird abgewiesen, soweit darauf eingetreten wird.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