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SB.2023.00051 vom 27. März 2024</w:t>
      </w:r>
    </w:p>
    <w:p>
      <w:r>
        <w:t>ZH Verwaltungsgericht, 2024-03-27, DE</w:t>
      </w:r>
    </w:p>
    <w:p>
      <w:r>
        <w:rPr>
          <w:b/>
        </w:rPr>
        <w:t xml:space="preserve">Quelle: </w:t>
      </w:r>
      <w:r>
        <w:t>https://mcp.opencaselaw.ch/entscheid/zh_verwaltungsgericht__SB.2023.00051</w:t>
      </w:r>
    </w:p>
    <w:p>
      <w:r>
        <w:t>FR: ZH_VERWALTUNGSGERICHT SB.2023.00051 du 27 mars 2024</w:t>
      </w:r>
    </w:p>
    <w:p>
      <w:r>
        <w:t>IT: ZH_VERWALTUNGSGERICHT SB.2023.00051 del 27 marzo 2024</w:t>
      </w:r>
    </w:p>
    <w:p>
      <w:pPr>
        <w:pStyle w:val="Heading2"/>
      </w:pPr>
      <w:r>
        <w:t>Regeste</w:t>
      </w:r>
    </w:p>
    <w:p>
      <w:r>
        <w:t>Staats- und Gemeindesteuern 1.1. - 31.12.2012, 1.1. - 31.12.2013, 1.1. - 31.12.2014 und 1.1. - 31.12.2015 | Verdeckte Gewinnausschüttung an Schwestergesellschaft. [Alleinaktionär X hält über eine Obergesellschaft u.a. die pflichtige AG und ihre Schwestergesellschaft, wobei er bei beiden Gesellschaften als Geschäftsführer amtet. Die unter dem Titel Managementdienstleistungen der Schwestergesellschaft abgebuchten Vergütungen wurden bei der Pflichtigen teilweise gewinnseitig aufgerechnet. Dabei ging das kantonale Steueramt davon aus, dass gewisse Arbeitsleistungen von der Schwestergesellschaft erbracht wurden. Diese schätzte es nach pflichtgemässem Ermessen und liess diese zum Abzug zu. Im Einspracheentscheid erhöhte es die verdeckten Gewinnausschüttungen, da mit den Vergütungen unzulässigerweise auch Geschäftsführungsaufgaben abgegolten worden seien.] Obwohl die Schwestergesellschaft umfangreiche Management-Dienstleistungen für die Pflichtige erbracht haben soll, vermochte sie ihre Sachdarstellung weder anhand eines schriftlichen Dienstleistungsvertrags noch anhand von Arbeitsrapporten oder anderen Beweismittel nachzuweisen. Die Ermessenseinschätzung bzw. -veranlagung erfolgte daher zu Recht (E. 5.1). Da die Pflichtige den Unrichtigkeitsnachweis nicht erbrachte, besteht die Ermessenseinschätzung bzw. -veranlagung fort und es kann einzig deren Höhe überprüft werden (E. 5.5). Unzulässige Delegation der Geschäftsführung an die Schwestergesellschaft, da weder eine statutarische Ermächtigung hierfür noch ein Organisationsreglement gemäss Art. 716b Abs. 1 aOR vorlag (E. 5.7). Keine Verletzung des Leistungsfähigkeitsprinzips nach Art. 127 Abs. 2 BV, weil die Vorinstanz ausser Acht gelassen habe, dass anstelle der verbuchten Management-Dienstleistungen Personalkosten angefallen wäre. Insbesondere kann die handelsrechtliche Verbuchung als Dienstleistungsentschädigung an die Schwestergesellschaft aufgrund des Massgeblichkeitsprinzips auch nicht sinngemäss in eine Salärzahlung an X umgedeutet werden (E. 5.9). Weil die Pflichtige keinen Nachweis erbringen konnte, welcheDienstleistungen die Schwestergesellschaft inhaltlich für sie erbracht habe, muss auch kein Drittvergleich vorgenommen werden. Ein Drittvergleich ist sachlogisch nur möglich, wenn überhaupt feststeht, welche Arbeiten verglichen werden sollten (E. 5.10). Schliesslich erweist sich das Vorgehen des kantonalen Steueramts in Bezug auf die Höhe der Schätzung als plausibel und rechnerisch nachvollziehbar (E. 5.11). Abweisung der Beschwerden.</w:t>
      </w:r>
    </w:p>
    <w:p>
      <w:pPr>
        <w:pStyle w:val="Heading2"/>
      </w:pPr>
      <w:r>
        <w:t>Erwägungen</w:t>
      </w:r>
    </w:p>
    <w:p>
      <w:r>
        <w:rPr>
          <w:b/>
        </w:rPr>
        <w:t>E. 6</w:t>
      </w:r>
    </w:p>
    <w:p>
      <w:r>
        <w:t>Bei diesem Verfahrensausgang sind die Gerichtskosten der Beschwerdeführerin aufzuerlegen (§ 151 Abs. 1 in Verbindung mit § 153 Abs. 4 StG bzw. Art. 144 Abs. 1 in Verbindung mit Art. 145 Abs. 2 DBG) und steht ihr keine Parteientschädigung zu (§ 17 Abs. 2 des Verwaltungsrechtspflegegesetzes vom 24. Mai 1954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