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SB.2022.00082 vom 13. Juni 2023</w:t>
      </w:r>
    </w:p>
    <w:p>
      <w:r>
        <w:t>ZH Verwaltungsgericht, 2023-06-13, DE</w:t>
      </w:r>
    </w:p>
    <w:p>
      <w:r>
        <w:rPr>
          <w:b/>
        </w:rPr>
        <w:t xml:space="preserve">Quelle: </w:t>
      </w:r>
      <w:r>
        <w:t>https://mcp.opencaselaw.ch/entscheid/zh_verwaltungsgericht__SB.2022.00082</w:t>
      </w:r>
    </w:p>
    <w:p>
      <w:r>
        <w:t>FR: ZH_VERWALTUNGSGERICHT SB.2022.00082 du 13 juin 2023</w:t>
      </w:r>
    </w:p>
    <w:p>
      <w:r>
        <w:t>IT: ZH_VERWALTUNGSGERICHT SB.2022.00082 del 13 giugno 2023</w:t>
      </w:r>
    </w:p>
    <w:p>
      <w:pPr>
        <w:pStyle w:val="Heading2"/>
      </w:pPr>
      <w:r>
        <w:t>Regeste</w:t>
      </w:r>
    </w:p>
    <w:p>
      <w:r>
        <w:t>Staats- und Gemeindesteuern 2017 | Vermietung möblierter Zimmer: Ausübung einer selbständigen Erwerbstätigkeit vs. private Vermögensverwaltung. Funktionelle Zuständigkeit: Da kein ziffernmässig unbestimmter Streitwert vorlag, war aufgrund des unter Fr. 20'000.- liegenden Streitwerts der Einzelrichter des Steuerrekursgerichts zuständig (E. 2). Auch vor Verwaltungsgericht ist funktionell die Einzelrichterin zuständig (E. 3). Schutzwürdiges Interesse an einer Höhereinschätzung im Bereich der direkten Bundessteuer? Das Steuerrekursgericht bejahte die Legitimation der Pflichtigen, da der Entscheid zwar ohne steuerrechtliche Wirkung bleibe, aber ein anderes Rechtsgebiet auf die steuerrechtliche Beurteilung abstelle, denn die Qualifikation als selbständige Erwerbstätigkeit führe zu einer AHV-Pflicht (E. 4.2). Nach der bundesgerichtlichen Rechtsprechung besteht grundsätzlich kein Rechtsschutzinteresse an der Feststellung, ob es sich um Privat- oder Geschäftsvermögen handelt, wenn damit nicht konkrete steuerliche Folgen verbunden sind (E. 4.3). Dies gilt auch dann, wenn eine künftige AHV-Beitragspflicht infrage steht. Auf die Beschwerde der Pflichtigen, mit welcher eine Höhereinschätzung im Bereich der direkten Bundessteuer beantragt wird, ist nicht einzutreten (E. 4.4). Umgang mit Internetquellen im Zusammenhang mit dem rechtlichen Gehör (E. 6.3). Nicht zu beanstanden ist, dass die Vorinstanz auf den eigenen Internetauftritt der Pflichtigen Bezug nimmt. Eine Verletzung der Aktenführungpflicht liegt jedoch hinsichtlich einer weiteren Website der Pflichtigen vor, auf welche die Vorinstanz Bezug nimmt, es jedoch unterlässt, die URL sowie das Besuchsdatum explizit zu nennen (E. 6.4). Gemäss § 18 Abs. 1 StG sind alle Einkünfte aus selbständiger Erwerbstätigkeit steuerbar (E. 8.1). Abgrenzung selbständige Erwerbstätigkeit/private Vermögensverwaltung: Darstellung der Rechtsprechung in Bezug auf die Vermietung von möblierten Zimmern (E. 8.4). Die Pflichtigen vermieten insgesamt 28 Zimmer, welche wöchentlichgereinigt werden; die Bettwäsche wird alle 14 Tage gewechselt, die Frotteewäsche wöchentlich. Die 19 Zimmer an der X-strasse sind von der Konzeption her nicht auf einen Daueraufenthalt ausgelegt. Dafür spricht zum einen die Grösse (durchschnittlich 18m2), aber auch, dass weder in den Zimmern noch der Gemeinschaftsküche gekocht werden darf. Die Zimmer werden überwiegend für eine kurze bis mittlere Aufenthaltsdauer gemietet, mit hoher Fluktuationsrate bei den Mietern. Die erbrachten Zusatzleistungen, insbesondere die durch die Pflichtigen organisierte Reinigung, sprengen den Rahmen der privaten Vermögensverwaltung. Für Gewinnstrebigkeit spricht auch, dass die Zimmer auf einer eigenen Homepage vermarktet werden. Dasselbe Konzept verfolgen die Pflichtigen mit den 9 Studios an der Y-strasse, auch wenn für diese Zimmer keine eigene Homepage betrieben wird und neben der Reinigung keine weiteren Zusatzleistungen erbracht werden (E. 9.2). Keine Berücksichtigung von AHV-Beiträgen: Eine selbständigerwerbende Person, welche für die zeitliche Zurechnung die Ist-Methode gewählt hat, muss die AHV-Beiträge im Zeitpunkt der effektiven Zahlung verbuchen (E. 9.5). Bestätigung des Vermögenssteuerwerts der Liegenschaften (E. 10). Abweisung der Beschwerde betreffend Staats- und Gemeindesteuern / Nichteintreten auf die Beschwerde betreffend direkte Bundessteuer.</w:t>
      </w:r>
    </w:p>
    <w:p>
      <w:pPr>
        <w:pStyle w:val="Heading2"/>
      </w:pPr>
      <w:r>
        <w:t>Erwägungen</w:t>
      </w:r>
    </w:p>
    <w:p>
      <w:r>
        <w:rPr>
          <w:b/>
        </w:rPr>
        <w:t>E. 2</w:t>
      </w:r>
    </w:p>
    <w:p>
      <w:r>
        <w:t>(grösste Zimmer). Ein Zimmer befindet sich im Untergeschoss. Die Zimmer kosteten zwischen Fr. 1'090.- und Fr. 1'370.- im Jahr 2017 (Ausnahme: Zimmer UG, Fr. 500.-). In den Zimmern darf nicht gekocht werden. In der Gemeinschaftsküche darf, soweit ersichtlich, gekocht werden und es steht ein Kühlschrank zur Verfügung. Die Ausstattung der Zimmer ist rudimentär: Weder gibt es einen Kühlschrank noch einen Beistelltisch/Kofferbock. Auch diese Zimmer werden wöchentlich gereinigt und es findet alle 14 Tage ein Wechsel der Bettwäsche und wöchentlich ein Wechsel der Frottierwäsche statt. Der Aufwand für die Reinigung betrug für die Y-Strasse 05 471 Stunden, wofür den Pflichtigen Fr. … in Rechnung gestellt wurden. Von den neun Zimmer wurden gemäss … vier Zimmer an Personen (L, I, J, K) vermietet, die ihr Studio im Jahr 2017 ganzjährig bewohnten. Drei dieser Mieter verfügten über Mietverträge, welche bereits 2011 (J) bzw. 2013 (L, I) abgeschlossen wurden und im Jahr 2019 noch bestehend waren. Eine weitere Mieterin bezog ihr Studio im März 2017, deren Mietverhältnis ebenfalls bis 2019 andauerte (siehe dazu die Auflistung Mietverträge mit Gültigkeit im Jahr 2017 vom November 2019). Bei Letzterer handelte es sich somit ebenfalls um eine Dauermieterin, zumal sie auch eine Katze im Zimmer hielt. Die übrigen acht Mieter (O, T, U, Q, M, V, W, G) mieteten Studios im Jahr 2017 für eine kürzere Dauer, wobei die Studios teils intern gewechselt wurden. Damit waren im Jahr 2017 an der Y-Strasse 05 sowohl Mietverhältnisse von kurzer bis längerer Dauer anzutreffen. Im Unterschied zur X-Strasse 03 werden die neun Zimmer nicht auf einer eigenen Homepage angeboten, sondern würden – gemäss Darstellung der Pflichtigen – unter der Hand wechseln. Auch gebe es neben der Reinigung und Wechsel der Bettwäsche keine weiteren Zusatzleistungen. Dass an der Y-Strasse 05 im Jahr 2017 ein paar längere Mietverhältnisse bestanden und gegenüber der X-Strasse 03 neben der Reinigung keine weiteren Zusatzleistungen erbracht werden, ändert nichts am Bild der selbständigen Erwerbstätigkeit der Pflichtigen. Hinsichtlich des Konzepts kann auf die Ausführungen zur Zimmervermietung an der X-Strasse 03 verwiesen werden: Auch hier werden einfach eingerichtete Zimmer ohne Kochmöglichkeit mit Reinigungs- und Bettwäscheservice vermietet. Die Pflichtigen schauen unbestrittenermassen mehrmals pro Woche beim Objekt für einen Kontrollblick vorbei, worauf auch die – mehrfach genutzte – Möglichkeit der Barzahlungen durch die Mieter der Y-Strasse 05 hindeutet. Somit übersteigt die Tätigkeit der Pflichtigen auch in Bezug auf die Y-Strasse 05 die blosse Vermögensverwaltung. Die von den Pflichtigen beantragte Rückweisung der Sache an das Steuerrekursgericht zur endgültigen Klärung des Sachverhalts mittels Durchführung eines Augenscheins an der X-Strasse 03 bzw. Y-Strasse 05 kann bei dieser Sachlage unterbleiben. 9.3 Nicht zu beanstanden ist weiter, dass das Steuerrekursgericht vor dem Hintergrund, dass die Mieterträge der X-Strasse 03 und Y-Strasse 05 aus einer selbständigen Erwerbstätigkeit der Pflichtigen herrühren, gestützt auf die Präponderanzmethode die gesamte Liegenschaft Parzelle 02 dem Geschäftsvermögen zuordnete. 9.4 Das Objekt X-Strasse 03/Y-Strasse 04/05 steht im hälftigen Miteigentum der Pflichtigen. Dass die pflichtige Ehefrau nicht selbständig erwerbstätig sei, weil nur der Ehemann das Hotel E betreibe, geht fehl: Die pflichtige Ehefrau führt zusammen mit ihrem Ehemann im Rahmen der Vermietung der möblierten Zimmer eine eigenständige selbständige Erwerbstätigkeit aus. Die Ansicht der Pflichtigen, ihre Hälfte bilde von vornherein nicht Geschäftsvermögen, ist somit nicht korrekt. 9.5 Eventualiter beantragen die Pflichtigen, die nachträglich von der Ausgleichskasse H am 15. April 2021 festgesetzten AHV-Beiträge 2015 und 2016 in der Höhe von total Fr. … in der Steuerperiode 2017 als Rückstellung in Abzug zu bringen. 9.5.1 Bei den persönlichen Beiträgen des Selbständigerwerbenden an die AHV handelt es sich nicht um Gewinnungskosten im Sinn von § 27 Abs. 1 StG, sondern um allgemeine Abzüge im Sinn von § 31 Abs. 1 lit. d StG (VGr, 23. März 2005, SB.2004.00074 = StE 2005 B 21.2 Nr. 21). Selbiges gilt für die direkte Bundessteuer (Abzugsfähigkeit nach Art. 33 Abs. 1 lit. d DBG, siehe Markus Reich/Marina Züger/Philipp Betschart, Kommentar DBG, Art. 27 DBG N. 22). Mit Bezug auf die zeitliche Zurechnung werden die persönlichen AHV-Beiträge des Selbständigerwerbenden den Gewinnungskosten gleichgestellt (vgl. Reich/Züger/Betschart, Kommentar DBG, Art. 27 DBG N. 22). Der Zeitpunkt des Abzugs dieser Beiträge richtet sich deshalb nach der für den betreffenden Selbständigerwerbenden anwendbaren Buchungsmethode (Martin Zweifel/Michael Beusch in: Ernst A. Kramer/Peter Nobel/Robert Waldburger [Hrsg.], Festschrift für Peter Böckli, Ausgewählte Fragen zur Bedeutung der Handelsbilanz für die steuerliche Gewinnermittlung, Zürich etc. 2006, S. 61 ff., S. 72 mit Hinweisen; Steuerrekurskommission Basel-Stadt, 18. Juni 2020, STRK.2020.4, BStP 2021 Nr. 3). Eine selbständigerwerbende Person, die für die zeitliche Zurechnung die Ist-Methode gewählt hat, muss die AHV-Beiträge im Zeitpunkt der effektiven Zahlung verbuchen (vgl. RB 1994 Nr. 36; Steuerrekurskommission Basel-Stadt, 18. Juni 2020, STRK.2020.4, BStP 2021 Nr. 3). 9.5.2 Dementsprechend kam das Steuerrekursgericht in Bezug auf die Steuerperiode 2017 zum Schluss, Mittelabflüsse, worunter auch die mutmasslich geschuldeten AHV-Beiträge fielen, seien unter der Ist-Methode im Zeitpunkt des effektiven Mittelabflusses zu erfassen. Abzugsseitig sei damit für das Jahr 2017 die Bildung einer Rückstellung für AHV-Beiträge unzulässig. Diese Ausführungen werden von den Pflichtigen nicht bestritten. Die Berücksichtigung von AHV-Beiträgen für das Jahr 2017 wird denn auch nicht beantragt. Im Licht der oben dargestellten Rechtsprechung und Praxis ist die Verweigerung eines entsprechenden Abzugs auch nicht zu beanstanden. Für die erst im Jahr 2021 nachträglich festgesetzten AHV-Beiträge für 2015 und 2016 verbietet sich eine einkommensmindernde Berücksichtigung von vornherein, da sie in der hier interessierenden Steuerperiode 2017 periodenfremd sind. 10. 10.1 Die Pflichtigen wenden sich sodann gegen den vom kantonalen Steueramt ermittelten Vermögenssteuerwert der Liegenschaften X-Strasse 03 und Y-Strasse 04/05. Nach der Weisung des Regierungsrates an die Steuerbehörden über die Bewertung von Liegenschaften und die Festsetzung der Eigenmietwerte ab Steuerperiode 2009 (Weisung 2009) vom 12. August 2009 sei für Geschäftshäuser zur Ermittlung des Ertragswerts der Ertrag der Liegenschaften zu kapitalisieren. Es gelte der gleiche Kapitalisierungssatz wie für private Mehrfamilienhäuser. Der Substanzwert bleibe unberücksichtigt, erst recht der Buchwert. Daher sei die Liegenschaft zu dem von den Pflichtigen deklarierten Ertragswert von Fr. … für die Y-Strasse 04/05 zuzüglich Fr. … für die X-Strasse 03, insgesamt also Fr. … zu besteuern und nicht zum Buchwert von Fr. … abzüglich Wertberichtigung von Fr. …, also Fr. ... 10.2 Der Vermögenssteuerwert bzw. der Verkehrswert wurde vom kantonalen Steueramt gemäss Einschätzungsvorschlag vom 13. April 2021 mittels einer je einfachen Gewichtung des Ertragswerts und des Substanzwerts, geteilt durch zwei, ermittelt. Den Ertragswert ermittelte es anhand der durchschnittlichen Mieterträge 2013–2016 (Fr. … ohne Abschreibungen auf Gebäude) und kapitalisierte diese mit 6,00 % (Zinssatz ohne aufgestauter Unterhalt). Dabei gelangte es zu einem Verkehrswert von Fr. …. Hierbei stützte es sich auf die eigene Verkehrswertberechnung der Pflichtigen in der Beilage 1 zum Schreiben vom 3. November 2020: Dabei berechneten die Pflichtigen den Verkehrswert anhand einfacher Gewichtung des Realwerts von Fr. … und einfacher Gewichtung des Ertragswerts von Fr. … und gelangten zu einem Verkehrswert von rund Fr. ... Das Steuerrekursgericht berichtigte diesen Betrag – wie beantragt – um Fr. …, da die flüssigen Mittel doppelt besteuert würden und gelangte in Gutheissung des Eventualantrags der Pflichtigen zu einem steuerbaren Vermögen von Fr. ... Vor Verwaltungsgericht machen die Pflichtigen nun geltend, die Liegenschaft sei ein Geschäftshaus im Sinn der Weisung 2009, Rz. 36, und lediglich zum Ertragswert zu bewerten. 10.3 Als Geschäftshäuser gemäss Weisung 2009 (Rz. 37) gelten Liegenschaften, deren Ertrag überwiegend durch die geschäftliche Nutzung bestimmt wird (Bank-, Büro- und Ladengebäude mit kleinem Wohnanteil usw.). Würde der Geschäftsbetrieb der Pflichtigen unter den engen Begriff des Geschäftshauses im Sinn der Weisung fallen, käme bei der Ermittlung des Ertragswerts der höhere Kapitalisierungssatz von 7,05 % zur Anwendung (siehe Weisung 2009, Rz. 43 und 42). Das kantonale Steueramt brachte dagegen einen tieferen bzw. für die Pflichtigen günstigeren Kapitalisierungssatz von 6 % zur Anwendung. Auf welcher Grundlage und zu welchem Kapitalisierungssatz die Pflichtigen die von ihnen verfochtenen und gegenüber der Berechnung des kantonalen Steueramts noch viel tieferen Ertragswerte von Fr. … und Fr. … ermittelt haben, ist unklar. Ebenso wenig ist belegt, dass es sich hierbei um die steueramtlich ermittelten Werte handelt (vgl. dazu die Ausführungen der Pflichtigen im Rekurs, Rz. 9 und die dazu eingereichte Beilage). Selbst wenn dem so wäre, basierten diese mutmasslich noch auf der Annahme, es handle sich bei den streitbetroffenen Gebäuden um Mehrfamilienhäuser, welche von den Pflichtigen im Privatvermögen gehalten werden. Letztlich spielt es denn auch keine Rolle, welcher Schätzungsmethode gefolgt wird: So bewegen sich der vom kantonalen Steueramt ermittelte Ertragswert und Substanzwert ungefähr in gleicher Höhe (jeweils rund Fr. …). Damit bleibt es bei den vom Steuerrekursgericht festgelegten steuerbaren Vermögen. 11. Nach dem Gesagten ist auf die Beschwerde in Bezug auf die direkte Bundessteuer 2017 (SB.2022.00083) nicht einzutreten. Die Beschwerde in Bezug auf die Staats- und Gemeindesteuern 2017 (SB.2022.00082) ist abzuweisen. 12. 12.1 Bei diesem Verfahrensausgang sind die Gerichtskosten den Beschwerdeführenden aufzuerlegen (§ 151 Abs. 1 in Verbindung mit § 153 Abs. 4 StG bzw. Art. 144 Abs. 1 in Verbindung mit Art. 145 Abs. 2 DBG). Das Verwaltungsgericht legt die Gerichtsgebühr nach seinem Zeitaufwand, nach der Schwierigkeit des Falls und nach dem Streitwert oder dem tatsächlichen Streitinteresse fest (§ 150b in Verbindung mit Art. 153 Abs. 4 StG). In besonders aufwändigen Verfahren kann die Gerichtsgebühr bis auf das Doppelte erhöht werden (§ 4 Abs. 1 der Gebührenverordnung des Verwaltungsgerichts vom 3. Juli 2018 [GebV VGr]). Basierend auf dem ermittelten Streitwert (siehe E. 3) und dem besonders grossen Aufwand des Verwaltungsgerichts aufgrund der überdurchschnittlich langen Beschwerdeschrift von 50 Seiten (siehe dazu die eigenen Ausführungen der Beschwerdeführenden in der Beschwerde) rechtfertigt es sich vorliegend, die Gerichtsgebühr gestützt auf § 4 Abs. 1 GebV VGr zu verdoppeln. 12.2 Den unterliegenden Beschwerdeführenden steht keine Parteientschädigung zu (§ 17 Abs. 2 des Verwaltungsrechtspflegegesetzes vom 24. Mai 1954 [VRG] in Verbindung mit § 152 und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