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SB.2021.00099 vom 12. Januar 2022</w:t>
      </w:r>
    </w:p>
    <w:p>
      <w:r>
        <w:t>ZH Verwaltungsgericht, 2022-01-12, DE</w:t>
      </w:r>
    </w:p>
    <w:p>
      <w:r>
        <w:rPr>
          <w:b/>
        </w:rPr>
        <w:t xml:space="preserve">Quelle: </w:t>
      </w:r>
      <w:r>
        <w:t>https://mcp.opencaselaw.ch/entscheid/zh_verwaltungsgericht__SB.2021.00099</w:t>
      </w:r>
    </w:p>
    <w:p>
      <w:r>
        <w:t>FR: ZH_VERWALTUNGSGERICHT SB.2021.00099 du 12 janvier 2022</w:t>
      </w:r>
    </w:p>
    <w:p>
      <w:r>
        <w:t>IT: ZH_VERWALTUNGSGERICHT SB.2021.00099 del 12 gennaio 2022</w:t>
      </w:r>
    </w:p>
    <w:p>
      <w:pPr>
        <w:pStyle w:val="Heading2"/>
      </w:pPr>
      <w:r>
        <w:t>Regeste</w:t>
      </w:r>
    </w:p>
    <w:p>
      <w:r>
        <w:t>Staats- und Gemeindesteuern 2014 | Unentgeltliche Rechtspflege. Gegenstand des vorliegenden Verfahrens (E. 2.1). Abweisung des Gesuchs um unentgeltliche Rechtspflege mangels nachgewiesener Mittellosigkeit und zufolge offensichtlicher Aussichtslosigkeit (E. 2.5). Ausgangsgemässe Regelung der Kosten- und Entschädigungsfolgen (E. 3). Abweisung der (vereinigten) Beschwerden.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Ausgangsgemäss sind die Gerichtskosten des vorliegenden Verfahrens den unterliegenden Pflichtigen aufzuerlegen (§ 153 Abs. 4 in Verbindung mit § 151 Abs. 1 StG; Art. 144 Abs. 1 in Verbindung mit Art. 145 Abs. 2 DBG). Eine Parteientschädigung bleibt ihnen versagt (§ 17 Abs. 2 VRG in Verbindung mit § 152 und § 153 Abs. 4 StG).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