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SB.2015.00097 vom 27. Januar 2016</w:t>
      </w:r>
    </w:p>
    <w:p>
      <w:r>
        <w:t>ZH Verwaltungsgericht, 2016-01-27, DE</w:t>
      </w:r>
    </w:p>
    <w:p>
      <w:r>
        <w:rPr>
          <w:b/>
        </w:rPr>
        <w:t xml:space="preserve">Quelle: </w:t>
      </w:r>
      <w:r>
        <w:t>https://mcp.opencaselaw.ch/entscheid/zh_verwaltungsgericht__SB.2015.00097</w:t>
      </w:r>
    </w:p>
    <w:p>
      <w:r>
        <w:t>FR: ZH_VERWALTUNGSGERICHT SB.2015.00097 du 27 janvier 2016</w:t>
      </w:r>
    </w:p>
    <w:p>
      <w:r>
        <w:t>IT: ZH_VERWALTUNGSGERICHT SB.2015.00097 del 27 gennaio 2016</w:t>
      </w:r>
    </w:p>
    <w:p>
      <w:pPr>
        <w:pStyle w:val="Heading2"/>
      </w:pPr>
      <w:r>
        <w:t>Regeste</w:t>
      </w:r>
    </w:p>
    <w:p>
      <w:r>
        <w:t>Staats- und Gemeindesteuern 2009 und 2010 | Verkehrswertermittlung von nicht kotierten Aktien eines Hotelleriebetriebs [Streitig ist die Frage, ob und in welchem Ausmass auf der Hotelliegenschaft stille Reserven vorhanden sind (Verkehrswert der Hotelliegenschaft).] Die Vorinstanz holte zur Schätzung des Verkehrswerts der Hotelliegenschaft (als Fortführungswert) ein Gutachten ein. Aus den Akten ergeben sich Hinweise, dass der Experte auf Kosten des zu begutachtenden Hotels übernachtet hat. Es kann letztlich offenbleiben, ob der Experte für befangen zu erklären wäre, da das Gutachten auch aus anderen Gründen abzuweisen ist (E. 6.1). Das Gutachten erweist sich als unvollständig sowie nicht klar und gehörig begründet. Die Verkehrswertermittlung lässt sich mangels nachgewiesener Grundlagen weder nachvollziehen noch lässt sich überprüfen, ob die eingesetzten Werte korrekt sind. Der Wert des Grundstücks und der Liegenschaft machen einen Grossteil des Unternehmenswerts aus und können daher bei der Verkehrswertermittlung nicht ausser Acht gelassen werden. Die ertragswertorientierte Ermittlung des Verkehrswerts ist in Anbetracht der Lage und dem luxuriösem Ausbaustandard der Hotelliegenschaft kaum zielführend (E. 6.2). Aufhebung und Rückweisung zum Neuentscheid an die Vorinstanz.</w:t>
      </w:r>
    </w:p>
    <w:p>
      <w:pPr>
        <w:pStyle w:val="Heading2"/>
      </w:pPr>
      <w:r>
        <w:t>Erwägungen</w:t>
      </w:r>
    </w:p>
    <w:p>
      <w:r>
        <w:rPr>
          <w:b/>
        </w:rPr>
        <w:t>E. 7</w:t>
      </w:r>
    </w:p>
    <w:p>
      <w:r>
        <w:t>Dies führt zur vollumfänglichen Gutheissung der Beschwerde. Die Sache ist im Sinn der Erwägungen zur weiteren Untersuchung und zum Neuentscheid an die Vorinstanz zurückzuweisen. Bei diesem Verfahrensausgang sind die Gerichtskosten der Beschwerdegegnerin aufzuerlegen (§ 151 Abs. 1 in Verbindung mit § 153 Abs. 4 StG), und es steht ihr keine Parteientschädigung zu (§ 17 Abs. 2 des Verwaltungsrechtspflegegesetzes vom 24. Mai 1959 [VRG] in Verbindung mit § 152 und § 153 Abs. 4 StG).</w:t>
      </w:r>
    </w:p>
    <w:p>
      <w:r>
        <w:rPr>
          <w:b/>
        </w:rPr>
        <w:t>E. 8</w:t>
      </w:r>
    </w:p>
    <w:p>
      <w:r>
        <w:t>Nach der Regelung in Art. 90 ff. des Bundesgesetzes über das Bundesgericht vom 17. Juni 2005 (BGG) sind letztinstanzliche kantonale Rückweisungsentscheide, die der unteren Instanz einen Entscheidungsspielraum belassen, als Zwischenentscheide im Sinn von Art. 93 BGG zu qualifizieren (BGE 134 II 124 E. 1.3).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