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SB.2015.00056 vom 16. Dezember 2015</w:t>
      </w:r>
    </w:p>
    <w:p>
      <w:r>
        <w:t>ZH Verwaltungsgericht, 2015-12-16, DE</w:t>
      </w:r>
    </w:p>
    <w:p>
      <w:r>
        <w:rPr>
          <w:b/>
        </w:rPr>
        <w:t xml:space="preserve">Quelle: </w:t>
      </w:r>
      <w:r>
        <w:t>https://mcp.opencaselaw.ch/entscheid/zh_verwaltungsgericht__SB.2015.00056</w:t>
      </w:r>
    </w:p>
    <w:p>
      <w:r>
        <w:t>FR: ZH_VERWALTUNGSGERICHT SB.2015.00056 du 16 décembre 2015</w:t>
      </w:r>
    </w:p>
    <w:p>
      <w:r>
        <w:t>IT: ZH_VERWALTUNGSGERICHT SB.2015.00056 del 16 dicembre 2015</w:t>
      </w:r>
    </w:p>
    <w:p>
      <w:pPr>
        <w:pStyle w:val="Heading2"/>
      </w:pPr>
      <w:r>
        <w:t>Regeste</w:t>
      </w:r>
    </w:p>
    <w:p>
      <w:r>
        <w:t>Quellensteuerpflicht 2008 (1.4. - 31.12) | Quellenbesteuerung, satzbestimmendes Einkommen. Das Veranlagungs- und Rechtsmittelverfahren richtet sich nach den kantonalen Verfahrensvorschriften, wenn der streitige Quellensteuerabzug sowohl auf Bundesrecht als auch auf kantonalem Recht beruht (E. 1). Quellenbesteuerung von Personen ohne steuerrechtlichen Wohnsitz oder Aufenthalt in der Schweiz (E. 2). Verjährungsunterbrechung durch Zustellung an die mithaftende Arbeitgeberin und Zustellung ins Ausland (E. 3). Bei quellenbesteuerten Personen ohne steuerrechtlichen Wohnsitz oder Aufenthalt in der Schweiz tritt der Quellensteuerabzug an die Stelle der im ordentlichen Verfahren zu veranlagenden Staats- und Bundessteuer (echte Quellensteuer). Das ausländische Erwerbseinkommen ist in diesen Fällen für die Bemessung der Quellensteuer nicht zu berücksichtigen (E. 4). Nichteintreten auf einen unzureichend begründeten Antrag hinsichtlich der vor Vorinstanz zum Abzug zugelassenen Repäsentationsspesen (E. 5). Ausgangsgemässe Kostenauflage und Zusprechung einer Umtriebsentschädigung (E. 6). Beschwerdeabweisung, soweit darauf eingetreten wird.</w:t>
      </w:r>
    </w:p>
    <w:p>
      <w:pPr>
        <w:pStyle w:val="Heading2"/>
      </w:pPr>
      <w:r>
        <w:t>Erwägungen</w:t>
      </w:r>
    </w:p>
    <w:p>
      <w:r>
        <w:rPr>
          <w:b/>
        </w:rPr>
        <w:t>E. 2</w:t>
      </w:r>
    </w:p>
    <w:p>
      <w:r>
        <w:t>Gemäss Art. 91 DBG sowie § 94 StG (i. V. m. Art. 5 Abs. 1 lit. a DBG, Art. 4 Abs. 2 lit. a des Bundesgesetzes über die Harmonisierung der direkten Steuern der Kantone und Gemeinden vom 14. Dezember 1990 [StHG], § 4 Abs. 2 lit. a StG), entrichtet eine Person ohne steuerrechtlichen Wohnsitz oder Aufenthalt in der Schweiz, die hier für kurze Dauer oder als Grenzgänger oder Wochenaufenthalter in unselbständiger Stellung erwerbstätig ist, für ihr Erwerbseinkommen die Quellensteuer nach Art. 83 ff. DBG bzw. §§ 87 ff. StG. Der Steuerabzug wird entsprechend den für die Einkommenssteuer natürlicher Personen geltenden Steuersätzen festgesetzt und umfasst die eidgenössischen, kantonalen und kommunalen Steuern (Art. 33 Abs. 1 StHG). Die Quellensteuer wird von den Bruttoeinkünften berechnet (Art. 84 Abs. 1 DBG, § 88 Abs. 1 StG). Bei der direkten Bundessteuer hat der Schuldner der steuerbaren Leistung alle Steuerabzüge nach den Tarifen und Weisungen seines Wohnsitz-, Sitz- oder Betriebsstättekantons vorzunehmen und diesem gleichen Kanton abzuliefern (Art. 14 Abs. 1 Satz 1 der Quellensteuerverordnung vom 19. Oktober 1993 [QStV]). Die für den Kanton Zürich massgebende Rechtsquelle ist die Verordnung über die Quellensteuer für ausländische Arbeitnehmer vom 2. Februar 1994 (Quellensteuerverordnung I; QVO I; ZStB I Nr. 28/011]).</w:t>
      </w:r>
    </w:p>
    <w:p>
      <w:r>
        <w:rPr>
          <w:b/>
        </w:rPr>
        <w:t>E. 3</w:t>
      </w:r>
    </w:p>
    <w:p>
      <w:r>
        <w:t>lit. a DBG; § 130 Abs. 3 lit. a StG). Das Schreiben des kantonalen Steueramts, Dienstabteilung Quellensteuer, vom 20. November 2013, wurde an die mithaftende Arbeitgeberin D AG in E (Schweiz) gerichtet, die ausserdem zur Mitwirkung verpflichtet ist (Art. 136 DBG; § 143 StG). Die Auflage ist daher innert der Fünfjahresfrist ergangen, weshalb der Verjährungseinrede nicht stattzugeben ist. Vor diesem Hintergrund kann die Frage der rechtmässigen Zustellung ins Ausland offenbleiben. Anzumerken bleibt jedoch, dass eine Verfügung oder Auflage, welche ins Ausland zugestellt wird, ungeachtet ihrer völkerrechtlichen Unzulässigkeit gültig ist, denn auf die Völkerrechtswidrigkeit kann sich nur der dadurch in seinem Hoheitsgebiet verletzte Staat berufen.</w:t>
      </w:r>
    </w:p>
    <w:p>
      <w:r>
        <w:rPr>
          <w:b/>
        </w:rPr>
        <w:t>E. 3.1</w:t>
      </w:r>
    </w:p>
    <w:p>
      <w:r>
        <w:t>Wird der Steuerabzug vom Schuldner der steuerbaren Leistung ganz oder ungenügend vorgenommen, wird er vom Gemeindesteueramt oder kantonalem Steueramt in einer Nachzahlungsverfügung zur Nachzahlung verpflichtet. Der Rückgriff auf den Steuerpflichtigen bleibt vorbehalten (Art. 138 Abs. 1 DBG, § 145 Abs. 1 StG).</w:t>
      </w:r>
    </w:p>
    <w:p>
      <w:r>
        <w:rPr>
          <w:b/>
        </w:rPr>
        <w:t>E. 3.2</w:t>
      </w:r>
    </w:p>
    <w:p>
      <w:r>
        <w:t>Soweit der Beschwerdegegner die Vollzugsverjährung geltend macht, kann auf die zutreffenden Erwägungen der Vorinstanz verwiesen werden. Gemäss Art. 120 Abs. 1 Satz 1 DBG und § 130 Abs. 1 StG verjährt das Recht, eine Steuer zu veranlagen, fünf Jahre nach Ablauf der Steuerperiode. Die Verjährung beginnt neu mit jeder auf die Feststellung oder Geltendmachung der Steuerforderung gerichteten Amtshandlung, die einem Steu­erpflichtigen oder Mithaftenden zur Kenntnis gebracht wird (Art. 120 Abs.</w:t>
      </w:r>
    </w:p>
    <w:p>
      <w:r>
        <w:rPr>
          <w:b/>
        </w:rPr>
        <w:t>E. 3.3</w:t>
      </w:r>
    </w:p>
    <w:p>
      <w:r>
        <w:t>Im Weiteren hat das Steuerrekursgericht zu Recht festgestellt, dass die angefochtene Nachforderungsverfügung zwar zu Unrecht an den Beschwerdegegner statt an die Arbeitgeberin D AG gerichtet worden ist. Indessen ist der Fehler durch die Einsprache des Beschwerdegegners geheilt worden, da der Einsprachentscheid an die Stelle der ursprünglichen Verfügung tritt. Es kann auch diesbezüglich auf die zutreffenden Ausführungen der Vorinstanz verwiesen werden.</w:t>
      </w:r>
    </w:p>
    <w:p>
      <w:r>
        <w:rPr>
          <w:b/>
        </w:rPr>
        <w:t>E. 4</w:t>
      </w:r>
    </w:p>
    <w:p>
      <w:r>
        <w:t>Streitig ist vorliegend im Wesentlichen, ob das ausländische Erwerbseinkommen für die Berechnung der Bemessungsgrundlage der Quellensteuer zu berücksichtigen ist.</w:t>
      </w:r>
    </w:p>
    <w:p>
      <w:r>
        <w:rPr>
          <w:b/>
        </w:rPr>
        <w:t>E. 4.1</w:t>
      </w:r>
    </w:p>
    <w:p>
      <w:r>
        <w:t>Im ordentlichen Verfahren werden nach dem Prinzip der Gesamtreineinkommensbesteuerung (Art. 7 StHG; Art. 16 Abs. 1 DBG; § 16 Abs. 1 StG) alle Einkünfte gesamthaft mit der Einkommenssteuer erfasst. Gemäss Art. 7 Abs. 1 DBG und § 6 Abs. 1 StG entrichten natürliche Personen, die nur für einen Teil ihres Einkommens in der Schweiz steuerpflichtig sind, die Steuer für die in der Schweiz steuerbaren Werte nach dem Satz, der ihrem gesamten in- und ausländischen Einkommen entspricht (Grundsatz des Progressionsvorbehalts). Dagegen herrscht im Bereich der Quellensteuer der Grundsatz der Einzelbetrachtung, indem einzelne Einkünfte für sich allein erfasst werden. Allfällige weitere Einkünfte des Steuerpflichtigen bleiben unberücksichtigt (Rainer Zigerlig/Guido Jud in: Martin Zweifel/Peter Athanas [Hrsg.] Kommentar zum Schweizerischen Steuerrecht, Teil I/Band 2b, Bundesgesetz über die direkte Bundessteuer [DBG], Art. 83–222, 2. A., 2008, Vor Art. 83–101 DBG N. 4). Dementsprechend lässt die Quellensteuerordnung auch nur Abzüge zu, die mit den an der Quelle erfassten Einkünften in direktem Zusammenhang stehen (Rainer Zigerlig/Mathias Oertli/Hubert Hofmann, Das St. Gallische Steuerrecht, 7. A., Muri bei Bern 2014, IV. Teil Rz. 7 f. und 42). Für die tarifliche Erfassung der Erwerbseinkünfte an der Quelle müssen die der Quellensteuer unterliegenden Einkünfte isoliert betrachtet werden. Das führt dazu, dass die übrigen ausländischen Einkünfte für die Satzbestimmung von beschränkt Steuerpflichtigen nicht berücksichtigt werden (Peter Locher, Kommentar zum Bundesgesetz über die direkte Bundessteuer, Teil 1, Basel 2001, Art. 7 DBG N. 14). Mit der Besteuerung einzelner Einkünfte an der Quelle wird die progressive Wirkung der Gesamtreineinkommensbesteuerung durchbrochen, weshalb der Progressionsvorbehalt bei der Quellensteuer von im Ausland wohnhaften internationalen Wochenaufenthaltern nicht zur Anwendung kommt (Zigerlig/Jud in: Kommentar zum Schweizerischen Steuerrecht, I/2b Art. 90 DBG, N. 3).</w:t>
      </w:r>
    </w:p>
    <w:p>
      <w:r>
        <w:rPr>
          <w:b/>
        </w:rPr>
        <w:t>E. 4.2</w:t>
      </w:r>
    </w:p>
    <w:p>
      <w:r>
        <w:t>Bei der Quellensteuer für Personen ohne steuerrechtlichen Wohnsitz oder Aufenthalt in der Schweiz gilt die Ausgestaltung des Quellensteuerabzugs als echte Quellensteuer uneingeschränkt. Er tritt an die Stelle der im ordentlichen Verfahren zu veranlagenden Staats- und Bundessteuer (Art. 99 DBG; § 91 StG). Diese entrichten gemäss Art. 91 DBG bzw. § 94 StG für ihr Erwerbseinkommen die Quellensteuer nach den Artikeln 83–86 DBG bzw. §§ 88–90 StG. Ein Verweis auf den Vorbehalt der ordentlichen nachträglichen und ergänzenden Veranlagung nach Art. 90 DBG und § 93 StG fehlt. Eine nachträgliche Veranlagung ist damit ausgeschlossen. Die in Art. 90 Abs. 1 DBG bzw. § 93 Abs. 1 StG vorgesehene Berücksichtigung der Gesamtprogression, indem für die Ermittlung der massgebenden Progression die Bestimmung von Art. 7 DBG bzw. § 6 StG sinngemäss als anwendbar erklärt wird, gilt damit nur einseitig für die ergänzende ordentliche Veranlagung (Zigerlig/Jud in: Kommentar zum Schweizerischen Steuerrecht, I/2b, Art. 90 DBG N. 3). Das ordentliche Veranlagungsverfahren und der Steuerabzug an der Quelle sind konzeptionell völlig unterschiedlich angelegt, sodass eine vollständige Gleichbehandlung von im ordentlichen Verfahren veranlagten Steuerpflichtigen und Quellensteuerpflichtigen zwangsläufig ausgeschlossen bleiben muss. Mit Entscheid vom 26. Januar 2010 (2C_319/2009 = BGE 136 II 241 = Pra 2010 Nr. 124) hat das Bundesgericht jedoch entschieden, dass die schweizerische Quellensteuerordnung in gewissen Konstellationen gegen das Freizügigkeitsabkommen zwischen der Schweiz und der EU vom 21. Juni 1999 (FZA) verstösst, indem Quellenbesteuerte mit Wohnsitz im Ausland und Einkünften aus der Schweiz unter Umständen steuerlich unzulässig diskriminiert werden. Diese Ungleichbehandlungen werden in Form einer nachträglichen Tarifkorrektur behoben, indem im Tarif nicht berücksichtigte Abzüge individuell gewährt werden (Art. 2 Abs. 1 lit. e QStV). Da sich die zusätzlich gewährten individuellen Abzüge lediglich auf die in der Schweiz erzielten Einkünfte beziehen, stellt dies keine Durchbrechung der Einzelbetrachtung dar. Der von den Beschwerdeführenden daraus gezogene Schluss auf eine Gesamtbetrachtung unter Anwendung des Progressionsvorbehalts geht damit fehl. Abgesehen davon liegt bei einer Einzelbetrachtung keine Diskriminierung des quellenbesteuerten Beschwerdegegners vor. Andererseits mag eine steuerliche Benachteiligung von ordentlich besteuerten Personen, wie sie durch die Durchbrechung des Progressionsvorbehalts entsteht, stossend sein. Da indessen die Besteuerungsvorschriften im Gesetz für die direkte Bundessteuer und damit in einem Bundesgesetz festgesetzt sind, müssen diese gemäss Art. 190 der Bundesverfassung (BV) von den Verwaltungsbehörden und den Gerichten auch bei einem Verstoss gegen das Gleichbehandlungsgebot (Art. 8 BV) oder den Grundsätzen von Art. 127 BV, insbesondere dem Grundsatz der Besteuerung nach der wirtschaftlichen Leistungsfähigkeit, angewendet werden. Gleiches muss auch in Nachachtung der vertikalen Steuerharmonisierung für die kantonalen Bestimmungen gelten.</w:t>
      </w:r>
    </w:p>
    <w:p>
      <w:r>
        <w:rPr>
          <w:b/>
        </w:rPr>
        <w:t>E. 5</w:t>
      </w:r>
    </w:p>
    <w:p>
      <w:r>
        <w:t>Was die von der Vorinstanz zum Abzug zugelassenen Repräsentationsspesen von Fr. … betrifft, so verweisen die Beschwerdeführenden pauschal auf die entsprechenden Erwägungen im Einspracheentscheid vom 27. November 2014 ohne sich mit den Ausführungen der Vorinstanz auseinanderzusetzen. Die Beschwerde an das Verwaltungsgericht muss einen Antrag und dessen Begründung enthalten (§ 147 Abs. 4 in Verbindung mit § 153 Abs. 4 StG). In der Begründung muss dargelegt werden, inwiefern der angefochtene Entscheid an einem Rechtsmangel leidet. Dies setzt voraus, dass sich die Beschwerde substanziiert mit den massgeblichen Erwägungen des angefochtenen Entscheids auseinandersetzt. Pauschale Verweise auf Rechtsquellen, die Verfahrensakten und frühere Eingaben genügen dem Begründungserfordernis nicht (Felix Richner et al. [Hrsg.], Kommentar zum Zürcher Steuergesetz, 3. A., Zürich 2013, § 147 StG N. 46 f.). Dies ist vorliegend nicht geschehen, weshalb auf den diesbezüglichen Antrag daher nicht einzutreten ist. Ausgangsgemäss ist die Beschwerde abzuweisen, soweit darauf einzutreten ist.</w:t>
      </w:r>
    </w:p>
    <w:p>
      <w:r>
        <w:rPr>
          <w:b/>
        </w:rPr>
        <w:t>E. 6</w:t>
      </w:r>
    </w:p>
    <w:p>
      <w:r>
        <w:t>Ausgangsgemäss sind die Gerichtskosten den unterliegenden Beschwerdeführenden aufzuerlegen (§ 151 Abs. 1 in Verbindung mit § 153 Abs. 4 StG) und haben sie dem Beschwerdegegner eine angemessene Umtriebsentschädigung zu bezahlen (§ 17 Abs. 2 lit. a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