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SB.2015.00017 vom 30. August 2013</w:t>
      </w:r>
    </w:p>
    <w:p>
      <w:r>
        <w:t>ZH Verwaltungsgericht, 2013-08-30, DE</w:t>
      </w:r>
    </w:p>
    <w:p>
      <w:r>
        <w:rPr>
          <w:b/>
        </w:rPr>
        <w:t xml:space="preserve">Quelle: </w:t>
      </w:r>
      <w:r>
        <w:t>https://mcp.opencaselaw.ch/entscheid/zh_verwaltungsgericht__SB.2015.00017</w:t>
      </w:r>
    </w:p>
    <w:p>
      <w:r>
        <w:t>FR: ZH_VERWALTUNGSGERICHT SB.2015.00017 du 30 août 2013</w:t>
      </w:r>
    </w:p>
    <w:p>
      <w:r>
        <w:t>IT: ZH_VERWALTUNGSGERICHT SB.2015.00017 del 30 agosto 2013</w:t>
      </w:r>
    </w:p>
    <w:p>
      <w:pPr>
        <w:pStyle w:val="Heading2"/>
      </w:pPr>
      <w:r>
        <w:t>Regeste</w:t>
      </w:r>
    </w:p>
    <w:p>
      <w:r>
        <w:t>Grundstückgewinnsteuer | Verlegung der Rekurskosten Nachdem die Gemeinde im Einspracheverfahren das rechtliche Gehör der Pflichtigen verletzt und damit das Rekursverfahren provoziert hat, sind ihr die Rekurskosten trotz ihres Obsiegens aufzuerlegen (E. 1). Gutheissung.</w:t>
      </w:r>
    </w:p>
    <w:p>
      <w:pPr>
        <w:pStyle w:val="Heading2"/>
      </w:pPr>
      <w:r>
        <w:t>Erwägungen</w:t>
      </w:r>
    </w:p>
    <w:p>
      <w:r>
        <w:rPr>
          <w:b/>
        </w:rPr>
        <w:t>E. 2</w:t>
      </w:r>
    </w:p>
    <w:p>
      <w:r>
        <w:t>Bei diesem Verfahrensausgang sind die Gerichtskosten der Gemeinde D aufzuerlegen (§ 151 Abs. 1 in Verbindung mit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