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SB.2013.00167 vom 17. März 2014</w:t>
      </w:r>
    </w:p>
    <w:p>
      <w:r>
        <w:t>ZH Verwaltungsgericht, 2014-03-17, DE</w:t>
      </w:r>
    </w:p>
    <w:p>
      <w:r>
        <w:rPr>
          <w:b/>
        </w:rPr>
        <w:t xml:space="preserve">Quelle: </w:t>
      </w:r>
      <w:r>
        <w:t>https://mcp.opencaselaw.ch/entscheid/zh_verwaltungsgericht__SB.2013.00167</w:t>
      </w:r>
    </w:p>
    <w:p>
      <w:r>
        <w:t>FR: ZH_VERWALTUNGSGERICHT SB.2013.00167 du 17 mars 2014</w:t>
      </w:r>
    </w:p>
    <w:p>
      <w:r>
        <w:t>IT: ZH_VERWALTUNGSGERICHT SB.2013.00167 del 17 marzo 2014</w:t>
      </w:r>
    </w:p>
    <w:p>
      <w:pPr>
        <w:pStyle w:val="Heading2"/>
      </w:pPr>
      <w:r>
        <w:t>Regeste</w:t>
      </w:r>
    </w:p>
    <w:p>
      <w:r>
        <w:t>Direkte Bundessteuer 1.1. - 31.12.2008 (2. Rechtsgang) | Siehe SB.2013.00166.</w:t>
      </w:r>
    </w:p>
    <w:p>
      <w:pPr>
        <w:pStyle w:val="Heading2"/>
      </w:pPr>
      <w:r>
        <w:t>Erwägungen</w:t>
      </w:r>
    </w:p>
    <w:p>
      <w:r>
        <w:rPr>
          <w:b/>
        </w:rPr>
        <w:t>E. 2</w:t>
      </w:r>
    </w:p>
    <w:p>
      <w:r>
        <w:t>DBG. Vielmehr ist diesfalls aufgrund der allgemeinen Beweislastregel (vgl. BGr, 2</w:t>
      </w:r>
    </w:p>
    <w:p>
      <w:r>
        <w:rPr>
          <w:b/>
        </w:rPr>
        <w:t>E. 2.1</w:t>
      </w:r>
    </w:p>
    <w:p>
      <w:r>
        <w:t>Der steuerbare Reingewinn einer Kapitalgesellschaft setzt sich gemäss Art. 58 Abs. 1 DBG aus dem Saldo der Erfolgsrechnung, unter Berücksichtigung des Saldovortrags des Vorjahres (lit. a), und allen vor Berechnung des Saldos der Erfolgsrechnung ausge­schiedenen Teilen des Geschäftsergebnisses zusammen, die nicht zur Deckung von geschäftsmässig begründetem Aufwand verwendet werden, wie insbesondere offene und verdeckte Gewinnausschüttungen und geschäftsmässig nicht begründete Zuwendungen an Dritte (lit. b). Geschäftsmässig begründet sind Aufwendungen, die objektiv im Zusammenhang mit der Unternehmenstätigkeit und damit im Interesse des Unternehmensziels getätigt werden (vgl. Peter Brülisauer/Flurin Poltera in: Martin Zweifel/Peter Athanas [Hrsg.], Kommentar zum Schweizerischen Steuerrecht I/2a, 2. A., Basel 2008, Art. 58 DBG N . 47 ff.).</w:t>
      </w:r>
    </w:p>
    <w:p>
      <w:r>
        <w:rPr>
          <w:b/>
        </w:rPr>
        <w:t>E. 2.2</w:t>
      </w:r>
    </w:p>
    <w:p>
      <w:r>
        <w:t>Um die Beurteilung der geschäftsmässigen Begründetheit von geltend gemachten Aufwendungen – mithin der allfällig damit verbundenen verdeckten Gewinnausschüttungen – zu ermöglichen, ist die steuerpflichtige Kapitalgesellschaft kraft der sie treffenden gesetzlichen Obliegenheiten gehalten, an der Abklärung der behaupteten Tatsachen mitzu­wirken. Gemäss Art. 126 Abs. 1 DBG muss sie alles tun, um eine vollständige und richtige Veranlagung zu ermöglichen. Insbesondere hat sie auf Verlangen der Steuerbehörde mündlich oder schriftlich Auskunft zu erteilen und Geschäftsbücher, Belege und weitere Bescheinigungen sowie Urkunden über den Geschäftsverkehr vorzulegen oder deren Einsichtnahme an Ort und Stelle zu dulden (Art. 126 Abs. 2 und Art. 123 Abs. 2 DBG).</w:t>
      </w:r>
    </w:p>
    <w:p>
      <w:r>
        <w:rPr>
          <w:b/>
        </w:rPr>
        <w:t>E. 2.3</w:t>
      </w:r>
    </w:p>
    <w:p>
      <w:r>
        <w:t>Hat die steuerpflichtige Gesellschaft trotz Mahnung ihre Verfahrenspflichten nicht erfüllt oder können die Steuerfaktoren mangels zuverlässiger Unterlagen nicht einwandfrei ermittelt werden, nimmt das kantonale Steueramt die Veranlagung gestützt auf Art. 130 Abs. 2 DBG nach pflichtgemässem Ermessen vor.</w:t>
      </w:r>
    </w:p>
    <w:p>
      <w:r>
        <w:rPr>
          <w:b/>
        </w:rPr>
        <w:t>E. 2.4</w:t>
      </w:r>
    </w:p>
    <w:p>
      <w:r>
        <w:t>Die Beweislosigkeit, die sich einstellt, wenn d ie Steuerpflichtige ihre Mitwirkungspflicht hinsichtlich steueraufhebender oder -mindernder Tatsachen – z. B. bei einem von ih r geltend gemachten Abzug – nicht erfüllt, führt in der Regel nicht zu einer Ermessenseinschätzung im Sinn von Art. 130 Abs.</w:t>
      </w:r>
    </w:p>
    <w:p>
      <w:r>
        <w:rPr>
          <w:b/>
        </w:rPr>
        <w:t>E. 3</w:t>
      </w:r>
    </w:p>
    <w:p>
      <w:r>
        <w:t>Bereits im 1. Rechtsgang vor Verwaltungsgericht (SB.2011.00139, E. 3.3) wurde festgestellt, dass Auflage und Mahnung durch das kantonale Steueramt – mangels Nachweises der geschäftsmässigen Begründetheit der verbuchten Kunden- und Reisespesen durch die Pflichtige – zu Recht ergingen: Zwar reichte die Pflichtige im Veranlagungsverfahren eine taggenaue Auflistung, inkl. Belege über Auslagen im Bereich öffentlicher Verkehr bzw. Flugtickets, Automiete, Unterkunft und Verpflegung sowie eine Übersicht über die Zahlungseingänge auf das Firmenkonto ein. Auf den eingereichten Belegen waren jeweils handschriftlich einzelne Stichworte vermerkt, wie "Middle East", "Kunden- und Mitarbeiterkontakt", "Investigation Abklärungen Projekt", "Projekt C" oder "Mitarbeiter", die Aufschluss über das betreffende Geschäft geben sollten. Indessen war aus diesen handschriftlichen Hinweisen ein geschäftlicher Zusammenhang bei Weitem nicht ersichtlich, zumal eine Vielzahl der Belege auf private Lebenshaltungskosten hindeuteten: So etwa Tickets zum Lucerne Festival oder die mit "Projekt Akquisition Mitarbeiterkontakt" bezeichnete Flugbestätigung nach Phuket für B, begleitet von seiner Ehefrau und seinem Kind , sowie diverse Spa-Treatments im E Resort in F oder im G Resort (mit dem Vermerk "C"). Da die geschäftliche Begründetheit auch im 2. Rechtsgang über weite Teile im Dunkeln blieb, durfte das kantonale Steueramt – ohne weitere Untersuchungen durchführen zu müssen – die Pflichtige hinsichtlich der Reise- und Kundenspesen nach pflichtgemässem Ermessen gemäss Art. 130 Abs. 2 DBG einschätzen. Das Vorbringen der Pflichtigen, wonach der Geschäftszweck ohne Weiteres aus dem Belegzweck hervorgehe, erweist sich dabei als unbehelflich. Denn aus den Belegen allein geht weder Art, Motiv, noch Rechtsgrund der Auslagen hervor (vgl. VGr, 20. Februar 2013, SB.2012.00125, E. 2.3). Von ihrer Obliegenheit, zumindest in Grundzügen die geschäftliche Veranlassung für die Spesen preiszugeben, wird die Pflichtigen auch nicht durch den blossen Hinweis befreit, sämtliche "Aufträge [würden] unter Einhaltung höchster Vertraulichkeit ausgeführt " und es sei ihr in der Regel seitens de r Auftraggeber vertraglich bzw. aus Datenschutzgründen untersagt, Namen und Sachverhalte zu benennen.</w:t>
      </w:r>
    </w:p>
    <w:p>
      <w:r>
        <w:rPr>
          <w:b/>
        </w:rPr>
        <w:t>E. 4.1</w:t>
      </w:r>
    </w:p>
    <w:p>
      <w:r>
        <w:t>Ist eine Ermessensveranlagung zu Recht ergangen, so kann sie gemäss Art . 132 Abs . 3 DBG nur wegen offen­sichtlicher Unrichtigkeit angefochten werden. D ie Steuerpflichtige hat den Nachweis der offensichtlichen Unrichtigkeit im Einspracheverfahren, spätestens aber im erstinstanzlichen Beschwerdeverfahren vor Steuerrekursgericht zu erbringen, und zwar dadurch,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(vgl. RB 1999 Nr. 150). Nur unter diesen formellen Voraussetzungen wird d ie Steuerpflichtige überhaupt zur Leistung des Unrichtigkeitsnachweises zugelassen und ist die Einsprachebehörde bzw. das Steuerrekursgericht zur Untersuchung und Beweisabnahme verpflichtet. Andernfalls gilt der Nachweis ohne Weiteres als gescheitert mit der Folge, dass die Ermessensveranlagung als solche bestehen bleibt.</w:t>
      </w:r>
    </w:p>
    <w:p>
      <w:r>
        <w:rPr>
          <w:b/>
        </w:rPr>
        <w:t>E. 4.2</w:t>
      </w:r>
    </w:p>
    <w:p>
      <w:r>
        <w:t>Im 2. Rechtsgang reichte die Pflichtige im Einspracheverfahren einen Bundesordner zu den Akten, eine Vielzahl von Rechnungen enthaltend, die sie an ihre Auftraggeber stellte. Aus den Rechnungen, gekennzeichnet mit dem "Codenamen" des jeweiligen Projekts, ist ersichtlich, dass den Kunden jeweils auch die Spesen berechnet wurden. Ein direkter Zusammenhang der verrechneten Spesen mit den im 1. Rechtsgang eingereichten Hotelabrechnungen, Flugtickets, etc. wurde aber durch blosses Einreichen der Kundenabrechnungen nicht hergestellt, indem es unterlassen wurde, die Spesenbelege spezifisch einem einzelnen, genau bezeichneten Geschäft zuzuordnen. Gleiches gilt für die zwei – im erstinstanzlichen Beschwerdeverfahren nachgereichten – Bundesordner mit unzähligen Quittungen von Restaurantkonsumationen, Taxirechnungen, weitere n Hotelrechnungen und Flugbestätigungen. Dass es den geltend gemachten Spesen an einem geschäftlichen Bezug fehlte, ergab auch die stichprobenweise Prüfung der Belege durch das Steuerrekursgericht: Anhand der Stichproben war ersichtlich, dass der Verwaltungsratspräsident der Pflichtigen etliche Male die Confiserie Sprüngli frequentierte sowie Einkäufe bei Blumen Krämer oder Lebensmittelgeschäften über die Firma abrechnete. Am Stärksten ins Gewicht fielen aber die kostspieligen Aufenthalte in Destinationen in aller Welt, inkl. Übernachtung in Luxushotels, teils mit Frau und Kind. Damit blieb die Pflichtige auch im Rechtsmittelverfahren den Nachweis schuldig, den geschäftlichen Charakter der verbuchten Spesen darzulegen. Indem die Pflichtige die versäumten Verfahrenspflichten nicht erfüllte, vermochte sie auch den Nachweis der offensichtlichen Unrichtigkeit der angefochtenen Ermessensveranlagung nicht zu erbringen.</w:t>
      </w:r>
    </w:p>
    <w:p>
      <w:r>
        <w:rPr>
          <w:b/>
        </w:rPr>
        <w:t>E. 5.1</w:t>
      </w:r>
    </w:p>
    <w:p>
      <w:r>
        <w:t>Scheitert der Unrichtigkeitsnachweis, kann das Verwaltungsgericht die Ermessenseinschätzung nur in Bezug auf ihre Höhe mit einer auf Willkür beschränkten Kognition überprüfen (RB 1994 Nr. 45 E. 1). Willkürlich ist eine Schätzung dann, wenn sie sich nach den Akten als geradezu unmöglich, als sachlich nicht begründbar erweist (RB 1963 Nr. 62).</w:t>
      </w:r>
    </w:p>
    <w:p>
      <w:r>
        <w:rPr>
          <w:b/>
        </w:rPr>
        <w:t>E. 5.2</w:t>
      </w:r>
    </w:p>
    <w:p>
      <w:r>
        <w:t>Das kantonale Steueramt hat im Einspracheentscheid sämtliche Auslagen der Pflichtigen in einer Tabelle zusammengetragen und bei jeder Ausgabe einen Vermerk hinzugefügt, ob Angaben zum Geschäftszweck oder Mandat erfolgt sind oder nicht. Dabei gelangte es in einem ersten Schritt zum Schluss, dass bei insgesamt Fr. … die geschäftsmässige Begründetheit fehle, bei einem Gesamtbetrag von Fr. … die geschäftsmässige Begründetheit hingegen zu bejahen sei. In einem weiteren Schritt wurden die abzugsfähigen Kosten auf einen Betrag von Fr. … aufgerundet. Diese Schätzung hat das Steuerrekursgericht eingehend auf ihre Plausibilität hin geprüft. Indem sich die Pflichtige darauf beschränkte, vor Verwaltungsgericht eine gegenüber der vor Steuerrekursgericht eingereichten Beschwerdeschrift nur geringfügig modifizierte Beschwerdeschrift einzureichen, ohne sich mit den ausführlichen Erwägungen des Steuerrekursgerichts auseinanderzusetzten, ist auch nicht ersichtlich, inwiefern die Schätzung geradezu unmöglich oder sachlich nicht begründbar sein soll. Im Übrigen ergeben sich auch aus den Akten keinerlei Anhaltspunkte für eine willkürliche Schätzung. Die Beschwerde ist damit vollumfänglich abzuweisen.</w:t>
      </w:r>
    </w:p>
    <w:p>
      <w:r>
        <w:rPr>
          <w:b/>
        </w:rPr>
        <w:t>E. 6</w:t>
      </w:r>
    </w:p>
    <w:p>
      <w:r>
        <w:t>Bei diesem Ausgang des Verfahrens sind die Gerichtskosten der Beschwerdeführerin aufzuerlegen (Art. 144 Abs. 1 in Verbindung mit Art. 145 Abs. 2 DBG). Besondere Verhältnisse im Sinn von Art. 144 Abs. 3 in Verbindung mit Art. 145 Abs. 2 DBG, die es rechtfertigen würden, von einer Kostenauflage abzusehen, sind vorliegend nicht ersichtlich. Der Beschwerdegegnerin ist angesichts dessen, dass nicht ersichtlich ist, dass ihr notwendige und verhältnismässig hohe Kosten erwachsen sind, nicht von Amtes wegen eine Parteientschädigung zuzusprechen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