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SB.2012.00071 vom 2. Mai 2001</w:t>
      </w:r>
    </w:p>
    <w:p>
      <w:r>
        <w:t>ZH Verwaltungsgericht, 2001-05-02, DE</w:t>
      </w:r>
    </w:p>
    <w:p>
      <w:r>
        <w:rPr>
          <w:b/>
        </w:rPr>
        <w:t xml:space="preserve">Quelle: </w:t>
      </w:r>
      <w:r>
        <w:t>https://mcp.opencaselaw.ch/entscheid/zh_verwaltungsgericht__SB.2012.00071</w:t>
      </w:r>
    </w:p>
    <w:p>
      <w:r>
        <w:t>FR: ZH_VERWALTUNGSGERICHT SB.2012.00071 du 2 mai 2001</w:t>
      </w:r>
    </w:p>
    <w:p>
      <w:r>
        <w:t>IT: ZH_VERWALTUNGSGERICHT SB.2012.00071 del 2 maggio 2001</w:t>
      </w:r>
    </w:p>
    <w:p>
      <w:pPr>
        <w:pStyle w:val="Heading2"/>
      </w:pPr>
      <w:r>
        <w:t>Regeste</w:t>
      </w:r>
    </w:p>
    <w:p>
      <w:r>
        <w:t>Direkte Bundessteuern (01.01.-31.12.2005, 01.01.-31.12.2006, 01.01.-31.12.2007, 01.01.-31.12.2008) | Siehe SB.2012.00070.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Bei diesem Ausgang des Verfahrens sind die Kosten der Beschwerdeführerin aufzuerlegen (Art. 144 Abs. 1 in Verbindung mit Art. 145 Abs. 2 DBG) und steht ihr keine Parteientschädigung zu (Art. 64 des Bundesgesetzes vom 20. Dezember 1968 über das Verwaltungsverfahren [VwVG] in Verbindung mit Art. 144 Abs. 4 und Art. 145 Abs. 2 DBG).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