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SB.2010.00143 vom 20. April 2011</w:t>
      </w:r>
    </w:p>
    <w:p>
      <w:r>
        <w:t>ZH Verwaltungsgericht, 2011-04-20, DE</w:t>
      </w:r>
    </w:p>
    <w:p>
      <w:r>
        <w:rPr>
          <w:b/>
        </w:rPr>
        <w:t xml:space="preserve">Quelle: </w:t>
      </w:r>
      <w:r>
        <w:t>https://mcp.opencaselaw.ch/entscheid/zh_verwaltungsgericht__SB.2010.00143</w:t>
      </w:r>
    </w:p>
    <w:p>
      <w:r>
        <w:t>FR: ZH_VERWALTUNGSGERICHT SB.2010.00143 du 20 avril 2011</w:t>
      </w:r>
    </w:p>
    <w:p>
      <w:r>
        <w:t>IT: ZH_VERWALTUNGSGERICHT SB.2010.00143 del 20 aprile 2011</w:t>
      </w:r>
    </w:p>
    <w:p>
      <w:pPr>
        <w:pStyle w:val="Heading2"/>
      </w:pPr>
      <w:r>
        <w:t>Regeste</w:t>
      </w:r>
    </w:p>
    <w:p>
      <w:r>
        <w:t>Staats- und Gemeindesteuern 2005 (2. Rechtsgang) | Überprüfung von Rückweisungsentscheiden (Praxisänderung) Da das Steuerprozessrecht die Anfechtung von Rückweisungsentscheiden nicht regelt, ist eine richterliche Lückefüllung vorzunehmen. Es drängt sich auf, diese Lücke entsprechend der Regelung für die Beschwerde in öffentlich-rechtlichen Angelegenheiten (Art. 93 BGG) und dem kantonalen Verfahrensrecht (§ 41 Abs. 3 i.V.m. § 19a Abs. 2 VRG), das auf die Regelung im BGG verweist, zu füllen. Nichteintreten.</w:t>
      </w:r>
    </w:p>
    <w:p>
      <w:pPr>
        <w:pStyle w:val="Heading2"/>
      </w:pPr>
      <w:r>
        <w:t>Erwägungen</w:t>
      </w:r>
    </w:p>
    <w:p>
      <w:r>
        <w:rPr>
          <w:b/>
        </w:rPr>
        <w:t>E. 2</w:t>
      </w:r>
    </w:p>
    <w:p>
      <w:r>
        <w:t>Ungeachtet des Unterliegens der Beschwerdeführenden ist angesichts der vorgenommenen Änderung der Rechtsprechung von einer Kostenauflage abzusehen (§ 151 Abs. 3 StG). Indessen muss ihnen die verlangte Parteientschädigung versagt bleiben (§ 17 Abs. 2 VRG in Verbindung mit § 152 und § 153 Abs. 4 StG).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