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SB.2010.00131 vom 16. März 2011</w:t>
      </w:r>
    </w:p>
    <w:p>
      <w:r>
        <w:t>ZH Verwaltungsgericht, 2011-03-16, DE</w:t>
      </w:r>
    </w:p>
    <w:p>
      <w:r>
        <w:rPr>
          <w:b/>
        </w:rPr>
        <w:t xml:space="preserve">Quelle: </w:t>
      </w:r>
      <w:r>
        <w:t>https://mcp.opencaselaw.ch/entscheid/zh_verwaltungsgericht__SB.2010.00131</w:t>
      </w:r>
    </w:p>
    <w:p>
      <w:r>
        <w:t>FR: ZH_VERWALTUNGSGERICHT SB.2010.00131 du 16 mars 2011</w:t>
      </w:r>
    </w:p>
    <w:p>
      <w:r>
        <w:t>IT: ZH_VERWALTUNGSGERICHT SB.2010.00131 del 16 marzo 2011</w:t>
      </w:r>
    </w:p>
    <w:p>
      <w:pPr>
        <w:pStyle w:val="Heading2"/>
      </w:pPr>
      <w:r>
        <w:t>Regeste</w:t>
      </w:r>
    </w:p>
    <w:p>
      <w:r>
        <w:t>Staats- und Gemeindesteuern 2005 | Selbständige Erwerbstätigkeit Der Bf hat keinen Anspruch auf einen Vorentscheid betreffend Steuerhoheit, da nicht die Steuerhoheit an sich, sondern lediglich deren Umfang strittig ist (E. 2). Die ärztliche Tätigkeit des Bf erfüllt sämtliche von der Rechtsprechung entwickelten Merkmale einer selbständigen Erwerbstätigkeit: Tätigwerden auf eigenes Risiko, Einsatz von Arbeit und Kapital, frei bestimmten (Selbst-)Organisation, Gewinnerzielungsabsicht sowie (planmässige und anhaltende) Teilnahme am wirtschaftlichen Verkehr (E. 3). Das KStA hat den Pflichtigen somit zurecht nach pflichtgemässem Ermessen eingeschätzt, nachdem er trotz Auflage und Mahnung keine Buchhaltung bzw. Jahresrechnung für eine selbständige Erwerbstätigkeit einreicht hatte. Der Unrichtigkeitsnachweis wurde nicht erbracht und die Schätzung erweist sich nicht als offensichtlich willkürlich (E. 4). Abweisung.</w:t>
      </w:r>
    </w:p>
    <w:p>
      <w:pPr>
        <w:pStyle w:val="Heading2"/>
      </w:pPr>
      <w:r>
        <w:t>Erwägungen</w:t>
      </w:r>
    </w:p>
    <w:p>
      <w:r>
        <w:rPr>
          <w:b/>
        </w:rPr>
        <w:t>E. 2</w:t>
      </w:r>
    </w:p>
    <w:p>
      <w:r>
        <w:t>Abteilung SB.2010.00131 Urteil der 2. Kammer vom 16. März 2011 Mitwirkend: Abteilungspräsident Martin Zweifel (Vorsitz) , Verwaltungsrichter Andreas Frei, Verwaltungsrichterin Leana Isler, Gerichtsschreiberin Silvia Hunziker. In Sachen A , vertreten durch RA B , Beschwerdeführer, gegen Staat Zürich, vertreten durch das kantonale Steueramt, Beschwerdegegner, betreffend Staats- und Gemeindesteuern 2005, hat sich ergeben: I. A war als Arzt im Fachbereich I mit Praxen in G und J tätig. Im Jahr 2003 gründete er zum Zweck der Führung seiner Arztpraxen zwei Gesellschaften und verlegte im gleichen Jahr seinen Wohnsitz nach E. Mit Auflage vom 12. März 2008 bzw. Mahnung vom 19. Mai 2008 forderte das kantonale Steueramt A auf, mit Bezug auf seine in den vorgenannten Arztpraxen ausgeübte selbständige Erwerbstätigkeit für das Geschäftsjahr 2005 eine vollständige Steuererklärung (inkl. Buchhaltung/Jahresrechnung und Hilfsblatt A) einzureichen. A weigerte sich, diese Unterlagen einzureichen, unter Hinweis auf darauf, dass keine selbständige Erwerbstätigkeit vorliege. Mit Entscheid vom 11. März 2009 schätzte das kantonale Steueramt A für die Steuerperiode 2005 mit einem steuerbaren Einkommen von Fr. … (zum Satz von Fr. …) und einem steuerbaren Vermögen von Fr. … (zum Satz von Fr. …) ein. Im nachfolgenden Einspracheverfahren korrigierte das kantonale Steueramt einen Berechnungsfehler und senkte im Entscheid vom 12. April 2010 das steuerbare Einkommen von A auf Fr. … (zum Satz von Fr. …) bei gegenüber dem Einschätzungsentscheid unverändertem Vermögen. II. Mit Entscheid vom 20. August 2010 wies die Steuerrekurskommission I des Kantons Zürich einen hiergegen erhobenen Rekurs von A vollumfänglich ab. III. Mit Beschwerde vom 30. Sep tember 2010 liess A dem Verwaltungsgericht sinngemäss beantragen, die vorinstanzlichen Entscheide seien aufzuheben und A sei "auf Grund eines steuerbaren, satzbestimmenden Einkommens von Fr. …, von welchem nur der Ertrag aus im Kanton Zürich belegenen Liegenschaften von Fr. … abzüglich die neu zu repartierenden Schuldzinsen im Kanton Zürich zu besteuern ist," einzuschätzen. Eventuell sei die Sache an das Steueramt zurückzuweisen, um dem Beschwerdeführer Gelegenheit zur Einreichung einer Steuererklärung zu geben. Ausserdem verlangte der Beschwerdeführer die Zusprechung einer Parteientschädigung. Die Steuerrekurskommission I und das kantonale Steueramt schlossen auf Abweisung der Beschwerde. Die Kammer erwägt: 1. 1.1 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1.2 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Vom Novenverbot ausgenommen sind dagegen echte Noven, namentlich neue tatsächliche Behauptungen und Beweismittel, die auf einem Revisions- oder Nachsteu­ergrund (§ 155 beziehungsweise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bestätigt in BGE 131 II 548).</w:t>
      </w:r>
    </w:p>
    <w:p>
      <w:r>
        <w:rPr>
          <w:b/>
        </w:rPr>
        <w:t>E. 2.1</w:t>
      </w:r>
    </w:p>
    <w:p>
      <w:r>
        <w:t>Die Vorinstanz hat in ihrem Entscheid die gesetzesvertretende Rechtssprechung des Bundesgerichts im Zusammenhang mit dem Anspruch des Bürgers auf Vorausbeurteilung der Steuerhoheit vollständig und zutreffend dargestellt, worauf zunächst zu verweisen ist. Dementsprechend besteht auch ohne ausdrückliche gesetzliche Grundlage im kantonalen Recht immer dann ein Anspruch auf Erlass eines Vorentscheids, wenn streitig ist, ob der Pflichtige einer bestimmten Steuerhoheit überhaupt unterliegt (BGE 125 I 54 E. 1a, mit Hinweisen). Ist hingegen nicht die Steuerhoheit an sich streitig, sondern lediglich der Umfang der subjektiven Steuerpflicht, so unterliegt der Pflichtige der Steuerhoheit des betreffenden Kantons und muss sich auf das Einschätzungsverfahren einlassen – diesfalls steht ihm nach ständiger Rechtsprechung kein Anspruch auf einen Vorentscheid zu (RB 2003 Nr. 81 mit Hinweisen).</w:t>
      </w:r>
    </w:p>
    <w:p>
      <w:r>
        <w:rPr>
          <w:b/>
        </w:rPr>
        <w:t>E. 2.2</w:t>
      </w:r>
    </w:p>
    <w:p>
      <w:r>
        <w:t>Vorliegend ist unbestritten, dass der Beschwerdeführer Eigentümer der Liegenschaften F-Strasse 01 und 02 in G ist. Daraus folgt, dass er gestützt auf § 4 Abs. 1 lit. b StG im Kanton Zürich jedenfalls beschränkt steuerpflichtig ist. Damit haben die Vorinstanzen zu Recht einen Anspruch des Pflichtigen auf Erlass eines Vorbescheids verneint, da die Steuerhoheit an sich nicht strittig ist, sondern lediglich deren Umfang – nämlich ob die in den beiden Gesellschaften verbuchten Einnahmen steuerlich Einkünfte aus unselbständiger Erwerbstätigkeit oder solche aus unselbständigem Erwerb  darstellen. Hierfür steht nach der zitierten Rechtsprechung ein Vorentscheid nicht zur Verfügung (vgl. vorn E. 2.1).</w:t>
      </w:r>
    </w:p>
    <w:p>
      <w:r>
        <w:rPr>
          <w:b/>
        </w:rPr>
        <w:t>E. 2.3</w:t>
      </w:r>
    </w:p>
    <w:p>
      <w:r>
        <w:t>Ebenso wenig besteht eine gesetzliche Grundlage, um – wie vom Beschwerdeführer verlangt – die Steuerverwaltung des Kantons H in das vorliegende Beschwerdeverfahren "beizuladen". Allfällige, sich aus diesem Entscheid ergebenden Fragen der Doppelbesteuerung sind im entsprechenden Verfahren vor Bundesgericht zu klären, in welchem allenfalls die betroffenen Kantone und damit auch der Kanton H miteinbezogen werden.</w:t>
      </w:r>
    </w:p>
    <w:p>
      <w:r>
        <w:rPr>
          <w:b/>
        </w:rPr>
        <w:t>E. 3.1</w:t>
      </w:r>
    </w:p>
    <w:p>
      <w:r>
        <w:t>Gemäss § 18 Abs. 1 StG steuerbar sind alle Einkünfte aus einem Handels-, Industrie-, Gewerbe-, Land- und Forstwirtschaftsbetrieb, aus einem freien Beruf sowie aus jeder anderen selbständigen Erwerbstätigkeit.</w:t>
      </w:r>
    </w:p>
    <w:p>
      <w:r>
        <w:rPr>
          <w:b/>
        </w:rPr>
        <w:t>E. 3.1.1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Markus Reich, in: Martin Zweifel/Peter Athanas [Hrsg.], Kommentar zum Schweizerischen Steuerrecht I/2a, 2. A., Basel 2008, Art. 18 DBG N. 14 m.H.; Julia von Ah, Die Besteuerung Selbständigerwerbender, 2. A., Zürich 2011, S. 2).</w:t>
      </w:r>
    </w:p>
    <w:p>
      <w:r>
        <w:rPr>
          <w:b/>
        </w:rPr>
        <w:t>E. 3.1.2</w:t>
      </w:r>
    </w:p>
    <w:p>
      <w:r>
        <w:t>Wohl legt § 18 Abs. 1 StG,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d.h. aufgrund der kumulativ erforderlichen Merkmale (1.) des Tätigwerdens auf eigenes Risiko, (2.) des Einsatzes von Arbeit und Kapital, (3.) der frei bestimmten (Selbst-)Organisation, (4.) der Gewinnerzielungsabsicht sowie (5.) der (planmässigen und anhaltenden) Teilnahme am wirtschaftlichen Verkehr.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Art. 8 StHG N. 12).</w:t>
      </w:r>
    </w:p>
    <w:p>
      <w:r>
        <w:rPr>
          <w:b/>
        </w:rPr>
        <w:t>E. 3.1.3</w:t>
      </w:r>
    </w:p>
    <w:p>
      <w:r>
        <w:t>Der Pflichtige geht beim Betrieb der beiden Arztpraxen zweifellos "professionell", vor, indem er sowohl in G wie auch in J über Zugang zu Räumlichkeiten und Gerätschaften verfügt, in welchen bzw. mit welchen er ärztliche Dienstleistungen erbringt. Er setzt damit neben Kapital seine speziellen Fachkenntnisse als Arzt mit Fähigkeitsausweisen im Fachbereich I mithin auch Arbeit in frei und von ihm selbst bestimmter Organisation ein. Unbestritten erfolgt der Einsatz des Pflichtigen auch nachhaltig. Aufgrund des Auftritts am Markt (vgl. nachstehend) ist auch die planmässige und auf Gewinnerzielung ausgerichtete Teilnahme am wirtschaftlichen Verkehr ohne Weiteres zu bejahen. Entscheidwesentlich ist in diesem Zusammenhang, dass der Pflichtige selbst am Markt auftritt und die erbrachten ärztlichen Leistungen auch selbst – und nicht über die beiden Gesellschaften – abrechnet. So lautet die Bewilligung für die Ausübung der ärztlichen Tätigkeit gemäss § 7 des kantonalen Gesetzes über das Gesundheitswesen vom 4. November 1996 (GesG) auf den Pflichtigen selbst und nicht auf die Gesellschaften. Sämtliche Patientenrechnungen lauten wiederum – gemäss unwidersprochener Feststellung der Bücherrevision und der Vorinstanz – auf den Namen des Pflichtigen und nicht auf den der Gesellschaften. Die Abrechnung der ärztlichen Leistungen erfolgt über ein auf den Pflichtigen selbst lautendes Bankkonto. Diese Organisation der Abrechnung der ärztlichen Dienstleistung entspricht, wie die Vorinstanz ebenfalls zutreffend festgestellt hat, der Regelung von § 11 GesG, wonach Arztpraxen im Namen und auf Rechnung (und damit auch auf Gefahr) des Inhabers der Bewilligung zu führen sind. Es kann letztlich offenbleiben, ob bei der gegebenen Gesetzeslage die Führung einer Arztpraxis in Form einer juristischen Person überhaupt zulässig war bzw. ist: Der Pflichtige ist persönlich und als Inhaber der Praxisbewilligung am Markt zur Erbringung der ärztlichen Dienstleistung aufgetreten und nicht seine Gesellschaften. Ebenso wenig interessiert bei dieser Sachlage für die Einschätzung des Pflichtigen, wie andere (ärztliche) Praxisgemeinschaften sich organisiert haben oder organisieren und ob diese steuerlich als juristische Personen behandelt werden. Insbesondere kann der Beschwerdeführer unter den gegebenen Umständen daraus für sich keinen Anspruch auf Gleichbehandlung im Unrecht ableiten, da nicht ersichtlich ist, dass in konkreten und rechtlich gleich liegenden Fällen anders entschieden wurde. Sind somit nach den vorstehenden Erwägungen die fünf kumulativ erforderlichen Merkmale des Tätigwerdens auf eigenes Risiko, des Einsatzes von Arbeit und Kapital, der frei bestimmten (Selbst-)Organisation, der Gewinnerzielungsabsicht sowie der (planmässigen und anhaltenden) Teilnahme am wirtschaftlichen Verkehr gegeben, erweisen sich die aus der ärztlichen Tätigkeit des Pflichtigen erzielten Einkünfte als solche aus selbständiger Erwerbstätigkeit.</w:t>
      </w:r>
    </w:p>
    <w:p>
      <w:r>
        <w:rPr>
          <w:b/>
        </w:rPr>
        <w:t>E. 4.1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Die Vorinstanz stellt in ihrem Entscheid zutreffend fest, dass der Pflichtige trotz Auflage und Mahnung keine Buchhaltung bzw. Jahresrechnung für eine selbständige Erwerbstätigkeit einreichte. Dies bestreitet der Pflichtige im Resultat auch nicht. Nachdem der Pflichtige jedoch keinen Anspruch auf einen Vorbescheid hatte (vorn E. 2) und die selbständige Erwerbstätigkeit zu bejahen ist (vorn E. 3), erfolgten sowohl Mahnung wie Auflage zu Recht. Das kantonale Steueramt war somit berechtigt, den Pflichtigen nach pflichtgemässem Ermessen einzuschätzen (§ 139 Abs. 2 StG). Verfahrensrechtlich besteht im Beschwerdeverfahren zudem keine gesetzliche Grundlage, um dem Pflichtigen mit Rückweisung des Verfahrens an das Steueramt nochmals Gelegenheit zur Einreichung einer Steuererklärung zu geben.</w:t>
      </w:r>
    </w:p>
    <w:p>
      <w:r>
        <w:rPr>
          <w:b/>
        </w:rPr>
        <w:t>E. 4.2</w:t>
      </w:r>
    </w:p>
    <w:p>
      <w:r>
        <w:t>Eine Ermessenseinschätzung kann gemäss § 140 Abs. 2 Satz 1 StG nur wegen offensichtlicher Unrichtigkeit angefochten werden (Satz 1). Die Einsprache ist zu begründen und muss allfällige Beweismittel nennen (Satz 2).</w:t>
      </w:r>
    </w:p>
    <w:p>
      <w:r>
        <w:rPr>
          <w:b/>
        </w:rPr>
        <w:t>E. 4.2.1</w:t>
      </w:r>
    </w:p>
    <w:p>
      <w:r>
        <w:t>Der Steuerpflichtige hat den Nachweis der offensichtlichen Unrichtigkeit wegen des im Beschwerdeverfahren geltenden Novenverbots (vgl. E. 1.2)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a.a.O., § 140 N. 64 ff.; Martin Zweifel in: Kommentar zum Schweizerischen Steuerrecht I/1, 2. A. , Basel etc. 2002, Art. 48 StHG N. 58 ff.). Offensichtlich unrichtig ist eine Schätzung, die erkennbar auf missbräuchlicher Betätigung des Schätzungsermessens beruht und insbesondere willkürlich ist (vgl. BGE 108 Ib 196 E. 4).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 ZR 82 [1983] Nr. 123; RB 1963 Nr. 62 = ZBl 65, 384 = ZR 65 Nr. 13).</w:t>
      </w:r>
    </w:p>
    <w:p>
      <w:r>
        <w:rPr>
          <w:b/>
        </w:rPr>
        <w:t>E. 4.3</w:t>
      </w:r>
    </w:p>
    <w:p>
      <w:r>
        <w:t>Weder im Rekursverfahren noch mit Beschwerdeerhebung hat der Pflichtige die Schätzung des kantonalen Steueramts substanziiert infrage gestellt. Sie beruht denn, soweit ersichtlich, auch auf den in den Buchhaltungen der beiden Gesellschaften erfassten Einkünften des Pflichtigen und berücksichtigt die angefallenen geschäftlichen Aufwendungen umfassend, inklusive eine Rückstellung für nun neu anfallende AHV-Beiträge des Selbständigerwerbenden. Sie ist daher im Beschwerdeverfahren nicht zu beanstanden.</w:t>
      </w:r>
    </w:p>
    <w:p>
      <w:r>
        <w:rPr>
          <w:b/>
        </w:rPr>
        <w:t>E. 5</w:t>
      </w:r>
    </w:p>
    <w:p>
      <w:r>
        <w:t>Letztlich sind in diesem Verfahren tatsächlich erst die gesamthaft auf den Kanton Zürich entfallenden Steuerfaktoren festzusetzen. Die interkommunale Steuerausscheidung – und damit die vom Beschwerdeführer vermisste Zuweisung auf die Gemeinden G und J – erfolgt hernach im Lichte der Vorschriften von § 191 ff. StG. Dies führt zur vollumfänglichen Abweisung der Beschwerde.</w:t>
      </w:r>
    </w:p>
    <w:p>
      <w:r>
        <w:rPr>
          <w:b/>
        </w:rPr>
        <w:t>E. 6</w:t>
      </w:r>
    </w:p>
    <w:p>
      <w:r>
        <w:t>Bei diesem Ausgang des Verfahrens sind die Gerichtskosten dem Beschwerdeführer aufzuerlegen (§ 151 Abs. 1 in Verbindung mit § 153 Abs. 4 StG) und steht ihm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