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SB.2010.00089 vom 19. Januar 2011</w:t>
      </w:r>
    </w:p>
    <w:p>
      <w:r>
        <w:t>ZH Verwaltungsgericht, 2011-01-19, DE</w:t>
      </w:r>
    </w:p>
    <w:p>
      <w:r>
        <w:rPr>
          <w:b/>
        </w:rPr>
        <w:t xml:space="preserve">Quelle: </w:t>
      </w:r>
      <w:r>
        <w:t>https://mcp.opencaselaw.ch/entscheid/zh_verwaltungsgericht__SB.2010.00089</w:t>
      </w:r>
    </w:p>
    <w:p>
      <w:r>
        <w:t>FR: ZH_VERWALTUNGSGERICHT SB.2010.00089 du 19 janvier 2011</w:t>
      </w:r>
    </w:p>
    <w:p>
      <w:r>
        <w:t>IT: ZH_VERWALTUNGSGERICHT SB.2010.00089 del 19 gennaio 2011</w:t>
      </w:r>
    </w:p>
    <w:p>
      <w:pPr>
        <w:pStyle w:val="Heading2"/>
      </w:pPr>
      <w:r>
        <w:t>Regeste</w:t>
      </w:r>
    </w:p>
    <w:p>
      <w:r>
        <w:t>Staats- und Gemeindesteuern 2007 | Ermessenseinschätzung Der Pflichtige hat zwar im Einspracheverfahren eine Steuererklärung eingereicht, ist aber der Aufforderung, seine Angaben zu belegen, trotz Mahnung nicht nachgekommen. Deshalb ist der Unrichtigkeitsnachweis angesichts der weiterhin bestehenden Ungewissheit über die Steuerfaktoren gescheitert. Die Ermessenseinschätzung erweist sich auch nicht als offensichtlich willkürlich. Abweisung.</w:t>
      </w:r>
    </w:p>
    <w:p>
      <w:pPr>
        <w:pStyle w:val="Heading2"/>
      </w:pPr>
      <w:r>
        <w:t>Erwägungen</w:t>
      </w:r>
    </w:p>
    <w:p>
      <w:r>
        <w:rPr>
          <w:b/>
        </w:rPr>
        <w:t>E. 2</w:t>
      </w:r>
    </w:p>
    <w:p>
      <w:r>
        <w:t>Abteilung SB.2010.00089 Urteil des Einzelrichters vom 19. Januar 2011 Mitwirkend: Abteilungspräsident Martin Zweifel, Gerichtsschreiberin Silvia Hunziker. In Sachen A , Beschwerdeführer, gegen Staat Zürich, vertreten durch das kantonale Steueramt, Beschwerdegegner, betreffend Staats- und Gemeindesteuern 2007, hat sich ergeben: I. A reichte für die Staats- und Gemeindesteuern 2007 trotz Mahnung keine Steuererklärung ein. Er wurde deshalb am 19. März 2009 vom kantonalen Steueramt in Anwendung von § 139 Abs. 2 des Steuergesetzes vom 8. Juni 1997 (StG) nach pflichtgemässem Ermessen mit einem steuerbaren Einkommen von Fr. … und einem steuerbaren Vermögen von Fr. … eingeschätzt. Mit Einspracheentscheid vom 11. Dezember 2009 setzte das kantonale Steueramt das steuerbare Einkommen auf Fr. … und das steuerbare Vermögen auf Fr. … herauf. Es stellte sich auf den Standpunkt, der Pflichtige habe den Nachweis der Unrichtigkeit der Ermessenseinschätzung nicht erbracht. Aus den eingereichten Unterlagen ergebe sich, dass die Schätzung zu tief ausgefallen sei. II. Der Einzelrichter der Steuerrekurskommission II wies den hiergegen gerichteten Rekurs am 7. Juni 2010 ab. Er erwog, wohl habe der Pflichtige im Einspracheverfahren eine Steuererklärung eingereicht, doch sei dessen Einkommenssituation nach wie vor unklar. Die getroffene Schätzung von Einkommen und Vermögen erscheine nicht als offensichtlich unrichtig. III. Mit Beschwerde vom 23. Juli 2010 beantragte der Pflichtige dem Verwaltungsgericht, "das Steueramt [sei] zu verpflichten, die Einschätzung anhand der Steuererklärung vorzunehmen und bei ev. Differenzen, diese mindesten[s] anzuzeigen und diese Abweichungen zu begründen". Die Steuerrekurskommission II und das kantonale Steueramt schlossen auf Abweisung der Beschwerde. Der Einzelrichter erwägt: 1. 1.1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Heisst das Verwaltungsgericht die Beschwerde ganz oder teilweise gut, so entscheidet es entweder selber oder weist die Sache an die Rekurskommission zurück (VGr, 24. November 1999, SB.99.00054, E. 4; RB 1996 Nr. 42). Eine Rückweisung an das kantonale Steueramt – wie sie der Pflichtige zur Vornahme der von ihm verfochtenen Einschätzung beantragt – fällt nur ausnahmsweise in Betracht, etwa wenn dieses zu Unrecht eine Ermessenseinschätzung im Sinn von § 139 Abs. 2 StG getroffen und die anschliessende Einsprache des Steuerpflichtigen gestützt auf § 140 Abs. 2 StG bloss unter dem eingeschränkten Gesichtswinkel der "offensichtlichen Unrichtigkeit" der angefochtenen Einschätzung geprüft hat.</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Der Pflichtige hat unstreitig trotz Mahnung keine Steuererklärung für die Steuerperiode 2007 abgegeben. Er ist deshalb zu Recht vom kantonalen Steueramt nach pflichtgemässem Ermessen eingeschätzt worden.</w:t>
      </w:r>
    </w:p>
    <w:p>
      <w:r>
        <w:rPr>
          <w:b/>
        </w:rPr>
        <w:t>E. 2.2</w:t>
      </w:r>
    </w:p>
    <w:p>
      <w:r>
        <w:t>Eine Ermessenseinschätzung kann gemäss § 140 Abs. 2 StG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E. 1.2) im Einspracheverfahren, spätestens aber im Rekursverfahren zu erbringen, und zwar dadurch, dass er innerhalb der Rechtsmittelfrist die versäumten Verfahrenspflichten (vollständig) nachholt,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140 N. 64 ff.; Martin Zweifel/Hugo Casanova, Schweizerisches Steuerverfahrensrecht, Zürich 2008, § 20 Rz. 23 ff. ).</w:t>
      </w:r>
    </w:p>
    <w:p>
      <w:r>
        <w:rPr>
          <w:b/>
        </w:rPr>
        <w:t>E. 2.3.1</w:t>
      </w:r>
    </w:p>
    <w:p>
      <w:r>
        <w:t>Der Pflichtige hat im Einspracheverfahren eine Steuererklärung eingereicht, in welcher er unter den Einkünften lediglich einen Wertschriftenertrag und einen Liegenschaften­ertrag aufgeführt hat. Angesichts der Tatsache, dass er im Wertschriftenverzeichnis ohne weitere Angaben ein "Gehaltskonto C" aufgelistet hat, ist er vom kantonalen Steueramt zu Recht aufgefordert worden, allfällige weitere Einkünfte, wie Erwerbseinkünfte, Renten und Taggelder, bekannt zu geben oder zu bestätigen, dass er keine solchen Einkünfte erzielt habe. Für diesen Fall ist er angehalten worden, zusätzlich einen detaillierten Kontoauszug betreffend das "Gehaltskonto C" für die Zeit vom 1. Januar bis 31. Dezember 2007 einzureichen. Ferner habe er Zins- und Saldonachweise für 2007 der geltend gemachten Hypothek bei der BANK D und sämtlicher Bankkonti beizubringen, ausserdem die Verkaufsabrechnung inkl. Zinsnachweis für 2007 der deklarierten Aktien B. Schliesslich habe er den belegmässigen Nachweis der geltend gemachten AHV-Beiträge über Fr. …, der geltend gemachten Parteispenden über Fr. … sowie der gemeinnützigen Zuwendungen über Fr. … zu leisten. Der Pflichtige ist dieser Aufforderung trotz Mahnung nicht nachgekommen, weshalb das kantonale Steueramt angesichts der weiterhin bestehenden Ungewissheit über die Steuerfaktoren rechtens das Scheitern des Unrichtigkeitsnachweises festgestellt hat. Unter diesen Umständen ist das Steueramt im Licht der Begründungspflicht von § 126 Abs. 1 StG bzw. Art. 29 Abs. 2 der Bundesverfassung vom 18. April 1999 nicht gehalten gewesen, die gestützt auf die neue Aktenlage getroffene Schätzung der Steuerfaktoren im Einzelnen zu erläutern, entzieht sich doch eine Schätzung wesensgemäss zumeist einer Begründung; es genügt, dass das Steueramt die Umstände angegeben hat, die es zur Höhereinschätzung veranlasst hat.</w:t>
      </w:r>
    </w:p>
    <w:p>
      <w:r>
        <w:rPr>
          <w:b/>
        </w:rPr>
        <w:t>E. 2.3.2</w:t>
      </w:r>
    </w:p>
    <w:p>
      <w:r>
        <w:t>Im Rekurs hat der Pflichtige erklärt, seine Arbeitsleistung bestehe darin, dass er "massive" bzw. "überdurchschnittliche" Eigenleistungen an seiner Liegenschaft, einem 12-Familienhaus, erbringe, um dieses "up to date" zu halten, was mit den ausgewiesenen Unterhaltskosten nicht möglich sei. Damit hat er zwar die von ihm im Einspracheverfahren verlangte Frage nach weiteren Einkünften verneint, den für diesen Fall von ihm zulässigerweise geforderten Kontoauszug aus dem "Gehaltskonto C" hat er indessen nicht beigebracht. Sodann hat der Pflichtige die Einreichung der Belege zu sämtlichen Bankkonten, zur Bankhypothek und zum Verkauf der Aktien B unterlassen. Soweit der Pflichtige in der Beschwerde geltend macht, er habe alle Bankbelege betreffend den Verkauf der Aktien B eingereicht, so ist dies aktenwidrig. Seine erstmals erhobene Behauptung, er habe mit den Aktien einen "Kapitalgewinn von rund Fr. … " realisiert, erweist sich demnach als neu und ist daher nicht zu hören (vgl. vorn E. 1.2). Desgleichen sind seine Erklärungen zum "Gehaltskonto C" nicht statthafte neue tatsächliche Vorbringen; darüber hinaus fehlt nach wie vor der Kontoauszug aus diesem Bankkonto für das Jahr 2007. Angesichts dieser Sach- und Rechtslage sind die Einkommens- und Vermögensverhältnisse des Pflichtigen weiterhin ungewiss geblieben und hat dieser somit den Nachweis der Unrichtigkeit der angefochtenen Ermessenseinschätzung im Sinn von § 140 Abs. 2 StG nicht erbracht.</w:t>
      </w:r>
    </w:p>
    <w:p>
      <w:r>
        <w:rPr>
          <w:b/>
        </w:rPr>
        <w:t>E. 2.4</w:t>
      </w:r>
    </w:p>
    <w:p>
      <w:r>
        <w:t>Ist der Unrichtigkeitsnachweis nicht erbracht, fragt es sich nur noch, ob die Ermessenseinschätzung offensichtlich unrichtig, d.h. willkürlich ausgefallen ist. Willkürlich ist eine Schätzung dann, wenn sie sich nach den Akten als geradezu unmöglich, als sachlich nicht begründbar erweist (RB 1963 Nr. 62 = ZBl 65, 384 = ZR 65 Nr. 13). Angesichts der ungewissen Einkommens- und Vermögensverhältnisse des Pflichtigen und der von der Rekurskommission für die streitbetroffene Steuerperiode zutreffend festgestellte Vermögensvermehrung erscheint es nicht als willkürlich, wenn das kantonale Steueramt das steuerbare Einkommen auf Fr. … und das steuerbare Vermögen auf Fr. … geschätzt hat. Das führt zur Abweisung der Beschwerde.</w:t>
      </w:r>
    </w:p>
    <w:p>
      <w:r>
        <w:rPr>
          <w:b/>
        </w:rPr>
        <w:t>E. 3</w:t>
      </w:r>
    </w:p>
    <w:p>
      <w:r>
        <w:t>Bei diesem Ausgang des Verfahrens sind die Gerichtskosten dem Beschwerdeführer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