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SB.2009.00120 vom 21. April 2010</w:t>
      </w:r>
    </w:p>
    <w:p>
      <w:r>
        <w:t>ZH Verwaltungsgericht, 2010-04-21, DE</w:t>
      </w:r>
    </w:p>
    <w:p>
      <w:r>
        <w:rPr>
          <w:b/>
        </w:rPr>
        <w:t xml:space="preserve">Quelle: </w:t>
      </w:r>
      <w:r>
        <w:t>https://mcp.opencaselaw.ch/entscheid/zh_verwaltungsgericht__SB.2009.00120</w:t>
      </w:r>
    </w:p>
    <w:p>
      <w:r>
        <w:t>FR: ZH_VERWALTUNGSGERICHT SB.2009.00120 du 21 avril 2010</w:t>
      </w:r>
    </w:p>
    <w:p>
      <w:r>
        <w:t>IT: ZH_VERWALTUNGSGERICHT SB.2009.00120 del 21 aprile 2010</w:t>
      </w:r>
    </w:p>
    <w:p>
      <w:pPr>
        <w:pStyle w:val="Heading2"/>
      </w:pPr>
      <w:r>
        <w:t>Regeste</w:t>
      </w:r>
    </w:p>
    <w:p>
      <w:r>
        <w:t>Staats- und Gemeindesteuern 2007 | Abzugsfähigkeit von Kurtaxe und Zweitwohnungssteuern Liegenschaftensteuern bilden abzugsfähige Unterhaltskosten, sofern sie als vom Eigentümer zu tragende Objektsteuern gelten. Weder die Kurtaxe noch die Zweitwohnungssteuer stellen Objektsteuern dar, sondern nicht abzugsfähige Lebensunterhaltskosten (E. 1.2.2). Abweisung.</w:t>
      </w:r>
    </w:p>
    <w:p>
      <w:pPr>
        <w:pStyle w:val="Heading2"/>
      </w:pPr>
      <w:r>
        <w:t>Erwägungen</w:t>
      </w:r>
    </w:p>
    <w:p>
      <w:r>
        <w:rPr>
          <w:b/>
        </w:rPr>
        <w:t>E. 2</w:t>
      </w:r>
    </w:p>
    <w:p>
      <w:r>
        <w:t>Bei diesem Ausgang des Verfahrens sind die Gerichtskosten den Beschwerdeführenden aufzuerlegen (§ 151 Abs. 1 in Verbindung mit § 153 Abs. 4 StG)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