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SB.2007.00096 vom 14. Mai 2008</w:t>
      </w:r>
    </w:p>
    <w:p>
      <w:r>
        <w:t>ZH Verwaltungsgericht, 2008-05-14, DE</w:t>
      </w:r>
    </w:p>
    <w:p>
      <w:r>
        <w:rPr>
          <w:b/>
        </w:rPr>
        <w:t xml:space="preserve">Quelle: </w:t>
      </w:r>
      <w:r>
        <w:t>https://mcp.opencaselaw.ch/entscheid/zh_verwaltungsgericht__SB.2007.00096</w:t>
      </w:r>
    </w:p>
    <w:p>
      <w:r>
        <w:t>FR: ZH_VERWALTUNGSGERICHT SB.2007.00096 du 14 mai 2008</w:t>
      </w:r>
    </w:p>
    <w:p>
      <w:r>
        <w:t>IT: ZH_VERWALTUNGSGERICHT SB.2007.00096 del 14 maggio 2008</w:t>
      </w:r>
    </w:p>
    <w:p>
      <w:pPr>
        <w:pStyle w:val="Heading2"/>
      </w:pPr>
      <w:r>
        <w:t>Regeste</w:t>
      </w:r>
    </w:p>
    <w:p>
      <w:r>
        <w:t>Staats- und Gemeindesteuern 2000 und 2001 | Da im Einspracheverfahren keine Anhörung der Pflichtigen zur Verböserung stattgefunden hat, wurde deren rechtliches Gehör verletzt. Rückweisung ins Einspracheverfahren.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noch offene Ausgang des Verfahrens sowie der Umstand, dass die Pflichtigen erst im Beschwerdeverfahren die Verletzung des rechtlichen Gehörs im Einspracheverfahren rügen, rechtfertigt es, die Kosten des Rekurs- und Beschwerdeverfahrens den Parteien je zur Hälfte aufzuerlegen (§ 151 Abs. 1 und 2 in Verbindung mit § 153 Abs. 4 StG) und es steht den Beschwerdeführerenden aus den nämlichen Gründen keine Parteientschädigung zu (§ 17 Abs. 2 des Verwaltungsrechtspflegegesetzes vom 24. Mai 1959 in Verbindung mit § 152 und § 153 Abs. 4 StG). Demgemäss entscheidet die Kammer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