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SB.2007.00064 vom 14. November 2007</w:t>
      </w:r>
    </w:p>
    <w:p>
      <w:r>
        <w:t>ZH Verwaltungsgericht, 2007-11-14, DE</w:t>
      </w:r>
    </w:p>
    <w:p>
      <w:r>
        <w:rPr>
          <w:b/>
        </w:rPr>
        <w:t xml:space="preserve">Quelle: </w:t>
      </w:r>
      <w:r>
        <w:t>https://mcp.opencaselaw.ch/entscheid/zh_verwaltungsgericht__SB.2007.00064</w:t>
      </w:r>
    </w:p>
    <w:p>
      <w:r>
        <w:t>FR: ZH_VERWALTUNGSGERICHT SB.2007.00064 du 14 novembre 2007</w:t>
      </w:r>
    </w:p>
    <w:p>
      <w:r>
        <w:t>IT: ZH_VERWALTUNGSGERICHT SB.2007.00064 del 14 novembre 2007</w:t>
      </w:r>
    </w:p>
    <w:p>
      <w:pPr>
        <w:pStyle w:val="Heading2"/>
      </w:pPr>
      <w:r>
        <w:t>Regeste</w:t>
      </w:r>
    </w:p>
    <w:p>
      <w:r>
        <w:t>ausserordentliche Einkünfte (Steuerjahr 1998) | Mit Blick auf die Wahrung des rechtlichen Gehörs grundsätzlich unzulässig ist die Verwertung von mündlichen Auskünften, die von den Behörden telefonisch eingeholt worden sind. Eine solche Verwertung ist nur ausnahmsweise zulässig, wenn die entsprechenden Auskünfte lediglich verhältnismässig einfache Sachfragen betreffen. So stellt die telefonische Abklärung einer rein organisatorischen Frage an sich noch keine Gehörsverletzung dar, sofern darüber eine Aktennotiz erstellt und diese dem Betroffenen zur Kenntnis gebracht wird. Die Rekurskommission hat im vorliegenden Fall zwei mit ehemaligen Verwaltungsräten geführte Telefonate nicht im Verfahrensprotokoll vermerkt. Diese Telefonate waren aber für die entscheidwesentliche Frage, ob der pflichtige Ehemann eine eigentliche selbständige Erwerbstätigkeit betrieben hatte, von Bedeutung. Weil dem pflichtigen Ehepaar keine Gelegenheit gegeben wurde, sich zu diesen Telefonaten zu äussern, hat die Rekurskommission den Gehörsanspruch verletzt. Eine Heilung des nicht unerheblichen Verfahrensmangels durch das Verwaltungsgericht ist ausgeschlossen. Die Beschwerde ist daher gutzuheissen und die Sache zur Gewährung des rechtlichen Gehörs sowie zur Neubeurteilung an die Vorinstanz zurückzuweisen (im Rahmen der Neubeurteilung wird die Rekurskommission vorab über das von den Pflichtigen gestellte Ausstandsbegehren befinden müssen). S. auch SB.2007.79.</w:t>
      </w:r>
    </w:p>
    <w:p>
      <w:pPr>
        <w:pStyle w:val="Heading2"/>
      </w:pPr>
      <w:r>
        <w:t>Erwägungen</w:t>
      </w:r>
    </w:p>
    <w:p>
      <w:r>
        <w:rPr>
          <w:b/>
        </w:rPr>
        <w:t>E. 2</w:t>
      </w:r>
    </w:p>
    <w:p>
      <w:r>
        <w:t>Bei diesem Verfahrensausgang sind die Kosten dem Beschwerdegegner aufzuerlegen (§ 151 Abs. 1 in Verbindung mit § 153 Abs. 4 StG). Dieser hat zudem den Beschwerdeführenden für das Beschwerdeverfahren eine ange­mes­sene Parteientschädigung auszurichten, welche auf insgesamt Fr. 2'000.- festzusetzen ist (§ 17 Abs. 2 des Verwaltungsrechtspflegegesetzes vom 24. Mai 1959 in Verbindung mit § 152 StG und § 153 Abs. 4 StG). Demgemäss entscheidet die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