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SB.2004.00036 vom 22. September 2004</w:t>
      </w:r>
    </w:p>
    <w:p>
      <w:r>
        <w:t>ZH Verwaltungsgericht, 2004-09-22, DE</w:t>
      </w:r>
    </w:p>
    <w:p>
      <w:r>
        <w:rPr>
          <w:b/>
        </w:rPr>
        <w:t xml:space="preserve">Quelle: </w:t>
      </w:r>
      <w:r>
        <w:t>https://mcp.opencaselaw.ch/entscheid/zh_verwaltungsgericht__SB.2004.00036</w:t>
      </w:r>
    </w:p>
    <w:p>
      <w:r>
        <w:t>FR: ZH_VERWALTUNGSGERICHT SB.2004.00036 du 22 septembre 2004</w:t>
      </w:r>
    </w:p>
    <w:p>
      <w:r>
        <w:t>IT: ZH_VERWALTUNGSGERICHT SB.2004.00036 del 22 settembre 2004</w:t>
      </w:r>
    </w:p>
    <w:p>
      <w:pPr>
        <w:pStyle w:val="Heading2"/>
      </w:pPr>
      <w:r>
        <w:t>Regeste</w:t>
      </w:r>
    </w:p>
    <w:p>
      <w:r>
        <w:t>Einschätzung 2002 | Weiterbildungskosten 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Das von der Pflichtigen besuchte Nachdiplomstudium in Case Management für die Arbeit im Gesundheits- und Sozialwesen war offenkundig geeignet, das notwendige Fachwissen zu vertiefen und auf den neuesten Stand zu bringen, damit sie den beruflichen Anforderungen als Leiterin der Familienpflege für betagte und betreuungsbedürftige Menschen sowie als Betreuerin von Pflegeverhältnissen gewachsen bleiben konnte. Indem der Präsident der Rekurskommission bezüglich der Kosten des Lehrgangs lediglich einen Weiterbildungsanteil von 50% ermittelt und die Kosten nur in diesem Umfang zum Abzug zugelassen hat, ohne im Einzelnen darzulegen, worin qualitativ und quantitativ der als Ausbildung zu betrachtende Teil der erworbenen Kenntnisse bestanden haben soll, ist er in Willkür verfallen. Teilweise Gutheissung der Beschwerde und Rückweisung an die Rekurskommission zur weiteren Untersuchung und zum Neuentscheid.</w:t>
      </w:r>
    </w:p>
    <w:p>
      <w:pPr>
        <w:pStyle w:val="Heading2"/>
      </w:pPr>
      <w:r>
        <w:t>Erwägungen</w:t>
      </w:r>
    </w:p>
    <w:p>
      <w:r>
        <w:rPr>
          <w:b/>
        </w:rPr>
        <w:t>E. 2</w:t>
      </w:r>
    </w:p>
    <w:p>
      <w:r>
        <w:t>Bei unselbständiger Erwerbstätigkeit werden als Berufskosten laut § 26 Abs. 1 lit. d  StG abgezogen die mit dem Beruf zusammenhängenden Weiterbildungs- und Umschulungskosten. Nicht abzugsfähig sind demgegenüber gemäss § 33 lit. b StG die Ausbildungskosten.</w:t>
      </w:r>
    </w:p>
    <w:p>
      <w:r>
        <w:rPr>
          <w:b/>
        </w:rPr>
        <w:t>E. 2.1</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der Abgrenzung von Aus- und Weiterbildung anhand neuerer Entwicklungen in der Rechtsprechung, " zsis) ", Zeitschrift für Schweizerisches und Internationales Steuerrecht, Aufsätze, www.zsis.ch, Ziff. 24 und 47).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2.2</w:t>
      </w:r>
    </w:p>
    <w:p>
      <w:r>
        <w:t>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(vgl. Beusch, Ziff. 25).</w:t>
      </w:r>
    </w:p>
    <w:p>
      <w:r>
        <w:rPr>
          <w:b/>
        </w:rPr>
        <w:t>E. 2.3.1</w:t>
      </w:r>
    </w:p>
    <w:p>
      <w:r>
        <w:t>Das Steuerrekursverfahren wird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Die Substanziierungslast des Steuerpflichtigen wird indessen dadurch gemildert, dass die Anforderungen an die Vollständigkeit der Sachdarstellung nicht überspannt werden dürfen: Hat der Steuerpflichtige eine nicht völlig lückenlose Sachdarstellung gegeben, muss die Rekurskommis­sion danach trachten, diesen Mangel durch eine ergänzende Untersuchung zu beheben.</w:t>
      </w:r>
    </w:p>
    <w:p>
      <w:r>
        <w:rPr>
          <w:b/>
        </w:rPr>
        <w:t>E. 2.3.2</w:t>
      </w:r>
    </w:p>
    <w:p>
      <w:r>
        <w:t>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 etc. 2002, Art. 46 StHG N. 30).</w:t>
      </w:r>
    </w:p>
    <w:p>
      <w:r>
        <w:rPr>
          <w:b/>
        </w:rPr>
        <w:t>E. 2.4</w:t>
      </w:r>
    </w:p>
    <w:p>
      <w:r>
        <w:t>Das von der pflichtigen Ehefrau ab April 2002 besuchte vom Weiterbildungszentrum für Gesundheitsberufe SRK (WE'G) in Zusammenarbeit mit der Hochschule für Soziale Arbeit Luzern durchgeführte Nachdiplomstudium in Case Management für die Arbeit im Gesundheits- und Sozialwesen vermittelt Wissen und Fähigkeiten, welche für die Koordination einer komplexen, langfristigen und kostenintensiven Versorgung und Betreuung von Patienten erforderlich sind. Zentrale Merkmale des Case Managements sind die Kontinuität, d.h. die Begleitung des Patienten über den gesamten Krankheitsverlauf hinweg, sowie die Koordination und Integration der Leistungserbringer. Case Management konzentriert sich dabei auf die Organisation und Ausschöpfung vorhandener Ressourcen von Leistungserbringern, Kostenträgern und des Patienten sowie dessen Umfeld. Das Studium besteht aus drei Nachdiplomkursen. Der erste Kurs setzt sich zusammen aus den Lerneinheiten "Einführung ins Case Management", "Direkte Patientinnen- und Patientenarbeit", "Case Management in der interdisziplinären Anwendung" und "Soziale Sicherheit". Der zweite Kurs umfasst die Lerneinheiten "Case Management im institutionellen Umfeld", "Arbeit", "Steuerung des Sozial- und Gesundheitswesen" und "Finanzierung und Rechnungswesen der Gesundheitsinstitutionen". Gegenstand des dritten Kurses sind die Lerneinheiten "Positionierung des Case Managements in der regionalen Versorgung", "Parameter der regionalen Gesundheitsversorgung", "Kooperationen", "Informationsverarbeitung im Gesundheitswesen" und "Qualitätsentwicklung". Die Nachdiplomkurse werden ergänzt durch prozessbezogene Lerneinheiten, welche die Studierenden während des ganzen Studiums begleiten, nämlich "Berufliches Selbstverständnis", "Beratung und Kommunikation" sowie "Methodik und Arbeitsorganisation". Diese im Nachdiplomstudiengang vermittelten Kenntnisse des Case Managements im Gesundheitswesen waren offenkundig geeignet, das für die pflichtige Ehefrau notwendige Fachwissen zu vertiefen und auf den neuesten Stand zu bringen, damit sie den komplexen beruflichen Anforderungen als Leiterin der Familienpflege für betagte und betreuungsbedürftige Menschen sowie als Betreuerin von Pflegeverhältnissen beim Schweizerischen Roten Kreuz gewachsen bleiben konnte. Soweit das Nach­diplom­stu­di­um auch eine gewisse Erweite­rung des Allgemeinwissens vermittelt hat, erscheint diese offenkundig als untergeordnet und schadet infolgedessen der Würdigung der Studienkosten als Weiterbildungskosten im Sinn von § 26 Abs. 1 lit. d StG nicht. Dass sich die Pflichtige schliesslich nach der Einstellung der Familienpflege durch das Rote Kreuz im Jahr 2004 selbständig gemacht hat, ändert entgegen der Auffassung des beschwerdeführenden kantonalen Steueramts nichts an der Würdigung der hier einzig massgebenden Verhältnisse in der streitbetroffenen Steuerperiode 2002.</w:t>
      </w:r>
    </w:p>
    <w:p>
      <w:r>
        <w:rPr>
          <w:b/>
        </w:rPr>
        <w:t>E. 2.5</w:t>
      </w:r>
    </w:p>
    <w:p>
      <w:r>
        <w:t>Indem der Präsident der Rekurskommission, ohne darzulegen, worin im Einzelnen qualitativ und quantitativ die als Ausbildung zu betrachtenden Kenntnisse bestanden haben sollen, das Nachdiplomstudium nur zu 50 % als Weiterbildung gewürdigt und die ausgewiesenen Kosten des Lehrgangs bloss in diesem Umfang zum Abzug zugelassen hat, ist er in Willkür verfallen. Er wird im zweiten Rechtsgang im Licht der vorstehenden Erwägungen nach Anhören der Parteien und allfälliger Durchführung einer weiteren Untersuchung diesen Mangel zu beheben sowie den Neuentscheid zu fällen haben, wobei er an die Begehren der Parteien nicht gebunden ist (vgl. vorn E. 1.3). Das führt zur teilweisen Gutheissung der Beschwerde.</w:t>
      </w:r>
    </w:p>
    <w:p>
      <w:r>
        <w:rPr>
          <w:b/>
        </w:rPr>
        <w:t>E. 3</w:t>
      </w:r>
    </w:p>
    <w:p>
      <w:r>
        <w:t>Bei diesem letztlich unentschiedenen Ausgang des Verfahrens sind die Kosten den Parteien je zur Hälfte aufzuerlegen (§ 151 Abs. 1 in Verbindung mit § 153 Abs. 4 StG) und steht der Beschwerdegegnerschaft keine Parteientschädigung zu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