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SB.2004.00032 vom 18. August 2004</w:t>
      </w:r>
    </w:p>
    <w:p>
      <w:r>
        <w:t>ZH Verwaltungsgericht, 2004-08-18, DE</w:t>
      </w:r>
    </w:p>
    <w:p>
      <w:r>
        <w:rPr>
          <w:b/>
        </w:rPr>
        <w:t xml:space="preserve">Quelle: </w:t>
      </w:r>
      <w:r>
        <w:t>https://mcp.opencaselaw.ch/entscheid/zh_verwaltungsgericht__SB.2004.00032</w:t>
      </w:r>
    </w:p>
    <w:p>
      <w:r>
        <w:t>FR: ZH_VERWALTUNGSGERICHT SB.2004.00032 du 18 août 2004</w:t>
      </w:r>
    </w:p>
    <w:p>
      <w:r>
        <w:t>IT: ZH_VERWALTUNGSGERICHT SB.2004.00032 del 18 agosto 2004</w:t>
      </w:r>
    </w:p>
    <w:p>
      <w:pPr>
        <w:pStyle w:val="Heading2"/>
      </w:pPr>
      <w:r>
        <w:t>Regeste</w:t>
      </w:r>
    </w:p>
    <w:p>
      <w:r>
        <w:t>Einschätzung 2001 | Weiterbildungskosten 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Die im berufsbegleitenden Nachdiplomlehrgang zum Executive Master of Business Engineering (MBE) vermittelten Kenntnisse waren offenkundig geeignet, das zur Ausübung der beruflichen Tätigkeit des Pflichtigen als Transformationsberater in Reorganisationsprojekten erforderliche Fachwissen zu vertiefen und auf den neusten Stand zu bringen, um den komplexen beruflichen Anforderungen gewachsen zu bleiben. Indem die Rekurskommission bezüglich der Kosten des Lehrgangs lediglich einen Weiterbildungsanteil von 75 % ermittelt hat, ohne darzulegen, worin im Einzelnen qualitativ und quantitativ die als Ausbildung zu betrachtenden Kenntnisse bestanden haben sollen, ist sie in Willkür verfallen. Teilweise Gutheissung der Beschwerde und Rückweisung an die Rekurskommission zur weiteren Untersuchung und zum Neuentscheid.</w:t>
      </w:r>
    </w:p>
    <w:p>
      <w:pPr>
        <w:pStyle w:val="Heading2"/>
      </w:pPr>
      <w:r>
        <w:t>Erwägungen</w:t>
      </w:r>
    </w:p>
    <w:p>
      <w:r>
        <w:rPr>
          <w:b/>
        </w:rPr>
        <w:t>E. 2</w:t>
      </w:r>
    </w:p>
    <w:p>
      <w:r>
        <w:t>Bei unselbständiger Erwerbstätigkeit werden als Berufskosten laut § 26 Abs. 1 lit. d  StG abgezogen die mit dem Beruf zusammenhängenden Weiterbildungs- und Umschulungskosten. Nicht abzugsfähig sind demgegenüber gemäss § 33 lit. b StG die Ausbildungskosten.</w:t>
      </w:r>
    </w:p>
    <w:p>
      <w:r>
        <w:rPr>
          <w:b/>
        </w:rPr>
        <w:t>E. 2.1</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der Abgrenzung von Aus- und Weiterbildung anhand neuerer Entwicklungen in der Rechtsprechung, "zsis)", Zeitschrift für Schweizerisches und Internationales Steuerrecht, Aufsätze, www.zsis.ch, Ziff. 24 und 47).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2.2</w:t>
      </w:r>
    </w:p>
    <w:p>
      <w:r>
        <w:t>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(vgl. Beusch, Ziff. 25).</w:t>
      </w:r>
    </w:p>
    <w:p>
      <w:r>
        <w:rPr>
          <w:b/>
        </w:rPr>
        <w:t>E. 2.3.1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2.3.2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2.4</w:t>
      </w:r>
    </w:p>
    <w:p>
      <w:r>
        <w:t>Der vom Pflichtigen ab Februar 2002 besuchte berufsbegleitende Nachdiplomlehrgang zum Executive Master of Business En­gi­neering (MBE HSG) vermittelt laut der damals geltenden und hier massgeblichen Konzeptdarstellung der Universität St. Gallen (vgl. auch VGr, 24. März 2004, SB.2003.00066, www.vgrzh.ch) Kenntnisse, die sich auf die "Veränderung des Unternehmens in der Transformation von Gesellschaft, Markt, Prozessen und Technologie" beziehen. Er "fasst alle notwendigen Qualifikationen für die aktive Gestaltung der Transformation in das Informations­zeitalter vertieft zusammen". Schwerpunkt der Aus­bil­dung ist die ganzheitliche Verbindung von Füh­rungswissen, Prozess­orien­tie­rung und Informationsma­nagement für Veränderungsprojekte." Die angebotenen Module beschlagen etwa "Transformationen von Umwelt, Märkten und Technologien, elektronische Medien", "Transformation von Unternehmen und Prozessen", "Management der Transformation", "Ganzheitliche Unternehmensführung", "Organisations- und Unternehmensentwicklung" sowie "Informationsmanagement". Diese im Nachdiplomstudiengang vermittelten Kenntnisse waren offenkundig geeignet, das für den Pflichtigen zur Ausübung seiner beruflichen Tätigkeit notwendige Fachwissen zu ver­tiefen und auf den neuesten Stand zu bringen, damit er den komplexen berufli­chen Anforderungen gewachsen blieb. Denn dessen Berufstätigkeit bestand im Wesentli­chen in der Beratung und Unterstützung von Grosskunden als Transformationsberater in Reorganisationsprojekten. Dass der Executive Master of Busi­ness Engineering auch Elemente des Executive Master of Business Admi­nistration enthält, ändert daran entgegen der Auffassung des beschwer­de­füh­ren­den kantonalen Steueramts nichts. Es genügt wie erwähnt (vgl. vorn E. 2.1), dass das zu ak­tua­lisierende oder zu vertiefende berufliche Fachwissen in der Praxis erlernt worden ist; es muss nicht auf einer spezifischen Grundausbildung beruhen. Soweit das Nach­diplom­stu­di­um auch eine gewisse Erweite­rung des Allgemeinwissens vermittelt hat, erscheint diese offenkundig als untergeordnet und schadet infolgedessen der Würdigung der Studienkosten als Weiterbildungskosten im Sinn von § 26 Abs. 1 lit. d StG nicht.</w:t>
      </w:r>
    </w:p>
    <w:p>
      <w:r>
        <w:rPr>
          <w:b/>
        </w:rPr>
        <w:t>E. 2.5</w:t>
      </w:r>
    </w:p>
    <w:p>
      <w:r>
        <w:t>Die Rekurskommission hat indessen lediglich einen "Weiterbildungsanteil" an dem vom Pflichtigen besuchten Lehrgang zum Executive Master of Business En­gi­neering (MBE HSG) von 75 % ermittelt. Allerdings hat sie weder eine qualitativ noch quantitativ nachvollziehbare Begründung für diese Schätzung gegeben. So hat sie ausgeführt, dass das Nachdiplomstudium "zwar sowohl für die Stellung und Vorbildung des Pflichtigen als Senior Consultant bei der Firma B geeignet" sei. Indessen sei es "nicht ausschliesslich auf die berufliche Position des Pflichtigen und die sich in dessen Berufsalltag stellenden Fragen ausgerichtet", weil es sich "an einen weiten Kreis von Führungskräften in der Wirtschaft" wende und "unter anderem auch Kenntnisse im internationalen Management und internationalen Recht" vermittle. Der Lehrgang diene "angesichts der Vorbildung und Berufstätigkeit des Pflichtigen daher zu einem Viertel dem Erwerb neuer Kenntnisse und [sei] zu drei Viertel als Weiterbildung zu würdigen, insbesondere in den Bereichen Betriebswirtschaft, Management, Prozessentwicklung und Unternehmensführung". Damit erscheine es "angemessen", 75 % der Studienkosten als Weiterbildungskosten zum Abzug zuzulassen. Indem die Rekurskommission, ohne darzulegen, worin im Einzelnen qualitativ und quantitativ die als Ausbildung zu betrachtenden Kenntnisse bestanden haben sollen, das Nachdiplomstudium nur zu 75 % als Weiterbildung gewürdigt und die ausgewiesenen Kosten des Lehrgangs bloss in diesem Umfang zum Abzug zugelassen hat, ist sie in Willkür verfallen. Sie wird im zweiten Rechtsgang im Licht der vorstehenden Erwägungen nach Anhören der Parteien und allfälliger Durchführung einer weiteren Untersuchung diesen Mangel zu beheben sowie den Neuentscheid zu fällen haben, wobei sie an die Begehren der Parteien nicht gebunden ist (vgl. vorn E. 1.2). Das führt zur teilweisen Gutheissung der Beschwerde.</w:t>
      </w:r>
    </w:p>
    <w:p>
      <w:r>
        <w:rPr>
          <w:b/>
        </w:rPr>
        <w:t>E. 3</w:t>
      </w:r>
    </w:p>
    <w:p>
      <w:r>
        <w:t>Bei diesem letztlich unentschiedenen Ausgang des Verfahrens sind die Kosten den Parteien je zur Hälfte aufzuerlegen (§ 151 Abs. 1 in Verbindung mit § 153 Abs. 4 StG) und steht dem Beschwerdeführer keine Parteientschädigung zu (§ 17 Abs. 2 des Verwaltungsrechtspflegegesetzes vom 24. Mai 1959 in Verbindung mit § 152 und § 153 Abs. 4 StG). Demgemäss entscheidet der Einzelrichter : 1.    Die Beschwerde wird teilweise gutgeheissen. Die Sache wird zur weiteren Unter­suchung und zum Neuentscheid im Sinn der Erwägungen an die Steuerrekurskom­mission zurückgewiesen. 2.    Über die Rekurskosten hat die Steuerrekurskommission im Neuentscheid zu befinden. 3.    Die Gerichtsgebühr wird festgesetzt auf Fr. 1'000.--;    die übrigen Kosten betragen: Fr.      60.--     Zustellungskosten, Fr. 1'060.--     Total der Kosten. 4.    Die Gerichtskosten werden den Parteien je zur Hälfte auferlegt. 5.    Eine Parteientschädigung wird nicht zugesprochen. 6.    Gegen diesen Entscheid kann innert 30 Tagen, von der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