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SB.2004.00018 vom 17. Juni 2004</w:t>
      </w:r>
    </w:p>
    <w:p>
      <w:r>
        <w:t>ZH Verwaltungsgericht, 2004-06-17, DE</w:t>
      </w:r>
    </w:p>
    <w:p>
      <w:r>
        <w:rPr>
          <w:b/>
        </w:rPr>
        <w:t xml:space="preserve">Quelle: </w:t>
      </w:r>
      <w:r>
        <w:t>https://mcp.opencaselaw.ch/entscheid/zh_verwaltungsgericht__SB.2004.00018</w:t>
      </w:r>
    </w:p>
    <w:p>
      <w:r>
        <w:t>FR: ZH_VERWALTUNGSGERICHT SB.2004.00018 du 17 juin 2004</w:t>
      </w:r>
    </w:p>
    <w:p>
      <w:r>
        <w:t>IT: ZH_VERWALTUNGSGERICHT SB.2004.00018 del 17 giugno 2004</w:t>
      </w:r>
    </w:p>
    <w:p>
      <w:pPr>
        <w:pStyle w:val="Heading2"/>
      </w:pPr>
      <w:r>
        <w:t>Regeste</w:t>
      </w:r>
    </w:p>
    <w:p>
      <w:r>
        <w:t>Einschätzung 2002 | Weiterbildungskosten Ob die Kosten eines Lehrgangs als abzugsfähige Weiterbildungskosten zu würdigen sind, kann nicht allgemein gesagt werden, sondern beurteilt sich aufgrund der konkreten Umstände, indem es namentlich auf den im Lehrgang vermittelten Stoff einerseits und die berufliche Tätigkeit oder die Grundausbildung des Absolventen anderseits ankommt. Der vom Pflichtigen besuchte berufsbegleitende MBA-Lehrgang war offenkundig geeignet, das zur Ausübung seiner beruflichen Tätigkeit als Unternehmensberater erforderliche Fachwissen zu vertiefen und zu erweitern. Indem die Rekurskommission bezüglich der Kosten des Lehrgangs lediglich einen Weiterbildungsanteil von 25 % ermittelt und die Kosten nur in diesem Umfang zum Abzug zugelassen hat, ohne im Einzelnen darzulegen, worin qualitativ und quantitativ der als Ausbildung zu betrachtende Teil der erworbenen Kenntnisse bestanden haben soll, ist sie in Willkür verfallen. Teilweise Gutheissung beider Beschwerden und Rückweisung an die Rekurskommission zur weiteren Untersuchung und zum Neuentscheid.</w:t>
      </w:r>
    </w:p>
    <w:p>
      <w:pPr>
        <w:pStyle w:val="Heading2"/>
      </w:pPr>
      <w:r>
        <w:t>Erwägungen</w:t>
      </w:r>
    </w:p>
    <w:p>
      <w:r>
        <w:rPr>
          <w:b/>
        </w:rPr>
        <w:t>E. 2</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3</w:t>
      </w:r>
    </w:p>
    <w:p>
      <w:r>
        <w:t>Bei unselbständiger Erwerbstätigkeit werden als Berufskosten laut § 26 Abs. 1 lit. d  StG abgezogen die mit dem Beruf zusammenhängenden Weiterbildungs- und Umschulungs­kos­ten. Nicht abzugsfähig sind demgegenüber gemäss § 33 lit. b StG die Ausbildungs­kosten.</w:t>
      </w:r>
    </w:p>
    <w:p>
      <w:r>
        <w:rPr>
          <w:b/>
        </w:rPr>
        <w:t>E. 3.1</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3.2</w:t>
      </w:r>
    </w:p>
    <w:p>
      <w:r>
        <w:t>Ob die Kosten eines Lehrgangs als abzugsfähige Weiterbildungskosten zu würdigen sind, kann nicht allgemein gesagt werden, sondern beurteilt sich aufgrund der konkreten Umstände, indem es namentlich auf den im Lehrgang vermittelten Stoff einerseits und die berufliche Tätigkeit oder die Grundausbildung des Absolventen anderseits ankommt. So hat das Verwaltungsgericht in einem Entscheid vom 23. Oktober 2002 (StE 2003 B 22.3 Nr. 74 = RB 2002 Nr. 100, dessen Leitsatz allerdings zu eng formuliert ist) erkannt, dass der von einem Rechtsanwalt an einer amerikanischen Universität absolvierte General Master of Laws (LL.M.)-Lehrgang für ausländische Juristen und Juristinnen offenkundig keine Vertiefung oder Aktualisierung derjenigen Fächer bewirkte, die ein in der Schweiz abgeschlossenes Rechtsstudium bietet bzw. die zürcherische Rechtsan­waltsprüfung im Sinn einer juristischen Grundausbildung verlangt. Vielmehr bildete das Nachdiplom­stu­dium eine Ergänzung dieser Grundausbildung, indem es zur Hauptsache Kenntnisse in aus­gewählten Bereichen des amerikanischen Rechts sowie juristischer Methodik, Arbeitsweise und Rechtssprache amerikanischer Juristen vermittelte. Ob der Betroffene dadurch sein Fachwissen im Rahmen seiner früheren Tätigkeit in einer international ausgerichteten Anwaltskanzlei hatte vertiefen können, blieb im Dunkeln, da er keine nähere Darstellung seiner anwaltlichen Arbeit gegeben hatte.</w:t>
      </w:r>
    </w:p>
    <w:p>
      <w:r>
        <w:rPr>
          <w:b/>
        </w:rPr>
        <w:t>E. 3.3.1</w:t>
      </w:r>
    </w:p>
    <w:p>
      <w:r>
        <w:t>Das Steuerrekursverfahren wird von der Untersuchungsmaxime beherrscht. Nach diesem Verfahrensgrundsatz ist die Rekurskommission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 auch zum Folgenden). Die Substanziierungslast des Steuerpflichtigen wird indessen dadurch gemildert, dass die Anforderungen an die Vollständigkeit der Sachdarstellung nicht überspannt werden dürfen: Hat der Steuerpflichtige eine nicht völlig lückenlose Sachdarstellung gegeben, muss die Rekurskommis­sion danach trachten, diesen Mangel durch eine ergänzende Untersuchung zu beheben.</w:t>
      </w:r>
    </w:p>
    <w:p>
      <w:r>
        <w:rPr>
          <w:b/>
        </w:rPr>
        <w:t>E. 3.3.2</w:t>
      </w:r>
    </w:p>
    <w:p>
      <w:r>
        <w:t>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I/1, 2. A., Basel etc. 2002, Art. 46 StHG N. 30).</w:t>
      </w:r>
    </w:p>
    <w:p>
      <w:r>
        <w:rPr>
          <w:b/>
        </w:rPr>
        <w:t>E. 3.3.3</w:t>
      </w:r>
    </w:p>
    <w:p>
      <w:r>
        <w:t>Der vom Pflichtigen im Jahr 2003 besuchte berufsbegleitende Lehrgang der INSEAD zum Master of Business Administration (MBA) umfasste die obligatorischen Fächer "Applied Statistics", "Prices and Markets, Economic Analysis", "Financial and Managerial Accounting", "Marketing Management", "Managerial Behavior, Managing Organizations", "Finance", "Process and Operations Management" und "Strategic Management, International Political Analysis, Industrial Policy &amp; International Competitiveness". Wahlfächer waren "Applied Corporate Finance", "International Financial Management", "Options, Futures and Financial Derivatives", "Investments and Capital Markets" sowie "Bank Management". Es ist offenkundig, dass der Besuch solcher Kurse geeignet war, das zur Ausübung der beruflichen Tätigkeit erforderliche Fachwissen zu vertiefen und zu erweitern, und zwar in dem Sinn, dass der Pflichtige für seinen Beruf als Unternehmensberater, den er zur Hauptsache in der praktischen Arbeit erlernt hatte, die dem besseren Verständnis dieser Arbeit dienenden Kenntnisse der theoretischen Grundlagen und Zusammenhänge erlangt hat.</w:t>
      </w:r>
    </w:p>
    <w:p>
      <w:r>
        <w:rPr>
          <w:b/>
        </w:rPr>
        <w:t>E. 3.4</w:t>
      </w:r>
    </w:p>
    <w:p>
      <w:r>
        <w:t>Die Rekurskommission hat indessen lediglich einen "Weiterbildungsanteil" an dem vom Pflichtigen besuchten MBA-Lehrgang von 25 % ermittelt. Allerdings hat sie keine quantitativ nachvollziehbare Begründung für diese Schätzung gegeben. So hat sie unter Hinweis darauf, dass der Pflichtige einerseits "die betreffende Tätigkeit, in der er zusätzliches Wissen erworben hat, bei Studienbeginn immerhin seit 2 ½ Jahren ausgeübt" habe und anderseits "vor Studienbeginn – unter Mitberücksichtigung des auf die firmeninterne Ausbildung entfallenden Anteils – doch eher kurze Zeit berufstätig gewesen" sei, bloss ausgeführt, unter den nicht näher umschriebenen "gesamten Umständen erschein[e] es angemessen, die als Weiterbildung zu qualifizierende Quote der deklarierten Aufwendungen auf einen Viertel festzulegen". Das Kriterium der Dauer der beruflichen Tätigkeit ist jedoch sachlich fragwürdig, weil es die Tatsache ausser acht lässt, dass der Weiterbildungsbedarf im Sinn eines "lebenslangen Lernens" in allen Stadien des Berufslebens und ungeachtet der beruflichen Erfahrung besteht. Es würde ausserdem dazu führen, dass die zeitliche Nähe zum Abschluss der Ausbildung oder zum Beginn der Ausübung einer bestimmten beruflichen Tätigkeit der Qualifikation des Lernens als Weiterbildung schaden würde, und zwar gerade in einer beruflichen Phase, in welcher der Erwerb von Fachwissen oder besonderer beruflicher Fähigkeiten für den gegenwärtigen und künftigen Erhalt der beruflichen Stellung besonders wichtig erscheint. Indem die Rekurskommission es unterlassen hat, darzulegen, worin im Einzelnen qualitativ und quantitativ der als Ausbildung zu betrachtende Teil der im MBA-Lehrgang erworbenen Kenntnisse bestanden haben soll, und das Studium nur zu 25 % als Weiterbildung gewürdigt sowie die ausgewiesenen Studienkosten bloss in diesem Umfang zum Abzug zugelassen hat, ist sie in Willkür verfallen. Sie wird im zweiten Rechtsgang im Licht der vorstehenden Erwägungen nach Anhören der Parteien und allfälliger Durchführung einer weiteren Untersuchung diesen Mangel zu beheben sowie den Neuentscheid zu fällen haben. Schliesslich ist anzumerken, dass es nicht Sache der Rechtsmittelbehörden sein kann, im wohlverstandenen Interesse der Verfahrensökonomie im Massenverfahren mit Bezug auf die Abzugsfähigkeit von Bildungskosten generell vereinfachende pauschale Quoten einzuführen. Hierzu ist seiner Stellung und Funktion nach das kantonale Steueramt berufen, das jedoch bis anhin keine derartigen Vereinfachungen getroffen hat. Das führt zur teilweisen Gutheissung beider Beschwerden.</w:t>
      </w:r>
    </w:p>
    <w:p>
      <w:r>
        <w:rPr>
          <w:b/>
        </w:rPr>
        <w:t>E. 4</w:t>
      </w:r>
    </w:p>
    <w:p>
      <w:r>
        <w:t>Bei diesem letztlich unentschiedenen Ausgang des Verfahrens sind die Gerichtskosten den Parteien je zur Hälfte aufzuerlegen (§ 151 Abs. 1 in Verbindung mit § 153 Abs. 4 StG) und steht diesen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