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SB.2003.00066 vom 24. März 2004</w:t>
      </w:r>
    </w:p>
    <w:p>
      <w:r>
        <w:t>ZH Verwaltungsgericht, 2004-03-24, DE</w:t>
      </w:r>
    </w:p>
    <w:p>
      <w:r>
        <w:rPr>
          <w:b/>
        </w:rPr>
        <w:t xml:space="preserve">Quelle: </w:t>
      </w:r>
      <w:r>
        <w:t>https://mcp.opencaselaw.ch/entscheid/zh_verwaltungsgericht__SB.2003.00066</w:t>
      </w:r>
    </w:p>
    <w:p>
      <w:r>
        <w:t>FR: ZH_VERWALTUNGSGERICHT SB.2003.00066 du 24 mars 2004</w:t>
      </w:r>
    </w:p>
    <w:p>
      <w:r>
        <w:t>IT: ZH_VERWALTUNGSGERICHT SB.2003.00066 del 24 marzo 2004</w:t>
      </w:r>
    </w:p>
    <w:p>
      <w:pPr>
        <w:pStyle w:val="Heading2"/>
      </w:pPr>
      <w:r>
        <w:t>Regeste</w:t>
      </w:r>
    </w:p>
    <w:p>
      <w:r>
        <w:t>Einschätzung 2001 | Abgrenzung von Aus- und Weiterbildungskosten. Eine Weiterbildung liegt stets vor, wenn das Lernen darauf ausgerichtet ist, das zur Ausübung der betreffenden beruflichen Tätigkeit erforderliche Fachwissen zu aktualisieren, zu vertiefen und zu erweitern (vgl. Art. 30 Abs. 1 lit. a des des eidgenössischen Berufsbildungsgesetzes). Das in Frage stehende berufliche Fachwissen kann dabei durchaus in der Praxis erlernt worden sein. Einer diesbezüglichen eigentlichen Grundausbildung - die es im Übrigen für verschiedene berufliche Tätigkeiten gar nicht gibt - bedarf es nicht (E. 1.1). Ob Weiterbildung vorliegt und ob damit die Kosten eines Nachdiplomstudiums als abzugsfähige Kosten zu würdigen sind, kann aber nicht allgemein gesagt werden, sondern beurteilt sich aufgrund der konkreten Umstände, indem es namentlich auf den im Nachdiplomstudium vermittelten Stoff einerseits und die berufliche Tätigkeit oder die Grundausbildung des Nachdiplomabsolventen anderseits ankommt (E. 1.2). Aufgrund der Tätigkeit der Pflichtigen und des im berufsbegleitenden Nachdiplomstudiengang "Executive MBA in Business Engineering (MBE)" gelehrten Fächerkanons Bejahen des Weiterbilungscharakters im vorliegenden konkreten Einzelfall (E. 1.3).</w:t>
      </w:r>
    </w:p>
    <w:p>
      <w:pPr>
        <w:pStyle w:val="Heading2"/>
      </w:pPr>
      <w:r>
        <w:t>Erwägungen</w:t>
      </w:r>
    </w:p>
    <w:p>
      <w:r>
        <w:rPr>
          <w:b/>
        </w:rPr>
        <w:t>E. 2</w:t>
      </w:r>
    </w:p>
    <w:p>
      <w:r>
        <w:t>Bei diesem Verfahrensausgang sind die Kosten dem Beschwerdeführer aufzuerlegen (§ 151 Abs. 1 in Verbindung mit § 153 Abs. 4 StG) und steht ihm keine Parteient­schä­di­gung zu (§ 17 Abs. 2 des Verwaltungsrechtspflegegesetzes vom 24. Mai 1959 in Verbin­dung mit § 152 und § 153 Abs. 4 StG). Demgegenüber rechtfertigt es sich, der obsiegenden Beschwerdegegnerschaft eine solche Entschädigung zuzusprechen. Demgemäss entscheidet die Kammer: 1.    Die Beschwerde wird abgewiesen. 2.    Die Gerichtsgebühr wird festgesetzt auf Fr. 1'000.--;    die übrigen Kosten betragen: Fr.      60.--     Zustellungskosten, Fr. 1'060.--     Total der Kosten. 3.    Die Gerichtskosten werden dem Beschwerdeführer auferlegt. 4.    Der Beschwerdeführer wird verpflichtet, der Beschwerdegegnerschaft je eine Partei­ent­schädigung von Fr. 100.- zu bezahlen.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