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SB.2002.00115 vom 21. Mai 2003</w:t>
      </w:r>
    </w:p>
    <w:p>
      <w:r>
        <w:t>ZH Verwaltungsgericht, 2003-05-21, DE</w:t>
      </w:r>
    </w:p>
    <w:p>
      <w:r>
        <w:rPr>
          <w:b/>
        </w:rPr>
        <w:t xml:space="preserve">Quelle: </w:t>
      </w:r>
      <w:r>
        <w:t>https://mcp.opencaselaw.ch/entscheid/zh_verwaltungsgericht__SB.2002.00115</w:t>
      </w:r>
    </w:p>
    <w:p>
      <w:r>
        <w:t>FR: ZH_VERWALTUNGSGERICHT SB.2002.00115 du 21 mai 2003</w:t>
      </w:r>
    </w:p>
    <w:p>
      <w:r>
        <w:t>IT: ZH_VERWALTUNGSGERICHT SB.2002.00115 del 21 maggio 2003</w:t>
      </w:r>
    </w:p>
    <w:p>
      <w:pPr>
        <w:pStyle w:val="Heading2"/>
      </w:pPr>
      <w:r>
        <w:t>Regeste</w:t>
      </w:r>
    </w:p>
    <w:p>
      <w:r>
        <w:t>Einschätzung für die Steuerperiode 1.1.-31.12.1999 | Mitwirkungs- und Verfahrenspflichten § 132 ff. StG Nach § 132 StG ist es das Ziel der Sachverhaltsermittlung, die massgebenen Verhältnisse einer vollständigen und richtigen Besteuerung festzustellen. Es steht daher nicht im Belieben des Pflichtigen, ob er daran mitwirken will oder nicht. Hinfällig ist daher die Differenzierung nach aStG zwischen Ermessens- und gewöhnlicher Schätzung. Zu beachten ist, dass nicht jede Beweislosigkeit zu einer Ermessenseinschätzung führt, sondern die Beweislastregel zur Nichtberücksichtigung von Abzügen führen kann (E. 3 a-c). Bei der Ermessenseinschätzung muss deren offensichtliche Unrichtigkeit im Einsprache-, spätestens im Rekursverfahren, durch Sachdarstellung und Beweismittel erbracht werden. Hat der Pflichtige den Nachweis nicht erbracht, wird die Schätzung auf Willkür geprüft (E. 4 a-c). Die Kostenauflage im Einspracheverfahren ist bei einer Verfahrenspflichtverletzung statthaft (E. 5).</w:t>
      </w:r>
    </w:p>
    <w:p>
      <w:pPr>
        <w:pStyle w:val="Heading2"/>
      </w:pPr>
      <w:r>
        <w:t>Erwägungen</w:t>
      </w:r>
    </w:p>
    <w:p>
      <w:r>
        <w:rPr>
          <w:b/>
        </w:rPr>
        <w:t>E. 2</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a)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b) 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Felix Richner/Walter Frei/Stefan Kaufmann, Kommentar zum harmonisierten Zürcher Steuergesetz, Zürich 1999, § 153 N. 43).</w:t>
      </w:r>
    </w:p>
    <w:p>
      <w:r>
        <w:rPr>
          <w:b/>
        </w:rPr>
        <w:t>E. 3</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a) Das Steuergesetz regelt die Verfahrenspflichten des Steuerpflichtigen in den Bestimmungen von § 133 bis § 135 StG. Gemäss § 135 Abs. 1 StG muss dieser "alles tun, um eine vollständige und richtige Einschätzung zu ermöglichen". Das Gesetz unterscheidet infolgedessen nicht danach, ob die Mitwirkung steuerbegründende und -mehrende oder aber steueraufhebende und -mindernde Tatsachen betrifft oder wer – der Steuerpflichtige oder die Steuerbehörde – die Beweislast für die in Frage stehende beweisbedürftige Tatsache trägt. Denn Ziel der Sachverhaltsermittlung ist nach dem Grundsatz von § 132 StG stets, die für eine vollständige und richtige Besteuerung massgebenden tatsächlichen und rechtlichen Verhältnisse festzustellen. So gesehen kann es kein Verfahrensrecht des Steuerpflichtigen geben, das in dessen Belieben stellte, an der Feststellung des gesetzmässigen Sachverhalts mitzuwirken oder nicht, auch wenn die Mitwirkung steueraufhebende und -mindernde Tatsachen beschlägt, die den Steuerpflichtigen begünstigen. Die frühere gegenteilige Rechtsprechung zum aufgehobenen Steuergesetz vom 8. Juli 1951, welche die Mitwirkung des Steuerpflichtigen als Verfahrenspflicht auf steuerbegründende und -mehrende Tatsachen beschränkte (vgl. dazu ausführlich Martin Zweifel, Die Sachverhaltsermittlung im Steuerveranlagungsverfahren, Zürich 1989, S. 47 ff.), kann jedenfalls unter dem geltenden Recht nicht länger aufrecht erhalten werden. Hinfällig geworden ist dementsprechend auch die unter dem alten Steuergesetz von der Rechtsprechung getroffene Differenzierung der Schätzung bei ungewissen tatsächlichen Verhältnissen in die Ermessenseinschätzung und die "gewöhnliche Schätzung", je nachdem, ob die Säumnis des Steuerpflichtigen in der Mitwirkung steuerbegründende und -mehrende bzw. steueraufhebende und -mindernde Tatsachen betroffen hatte (vgl. Zweifel, S. 121 f. und S. 144 ff.; ferner Felix Richner/Walter Frei/Barbara Weber/Hans R. Brütsch, Zürcher Steuergesetz, Kurzkommentar, 2. A., Zürich 1997, § 75 N. 69 ff. und § 87 N. 7). Kraft § 139 Abs. 2 StG ist eine Einschätzung nach pflichtgemässem Ermessen immer dann vorzunehmen, wenn infolge fehlerhafter Mitwirkung des Steuerpflichtigen oder auch aus andern Gründen die Steuerfaktoren mangels zuverlässiger Unterlagen nicht einwandfrei ermittelt werden können. b) Allerdings ist zu beachten, dass die Beweislosigkeit, die sich einstellt, wenn der Steuerpflichtige seine Mitwirkungspflicht hinsichtlich steueraufhebender oder -mindernder Tatsachen – z.B. bei einem von ihm geltend gemachten Abzug – nicht erfüllt, grundsätzlich nicht zu einer Ermessensveranlagung führt.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den in Frage stehenden Abzug nicht zu berücksichtigen (vgl. etwa BGE 92 I 398 = ASA 36 [1967/68], S. 192 und BGr, 10. Juli 1977, ASA 46 [1977/78], S. 512). Unter bestimmten Voraussetzungen ist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I/1, 2. A., Basel/Genf/München 2002, Art. 46 StHG N. 30). c) Der Pflichtigen sind unstreitig geschäftsmässig begründete Aufwendungen für Gehälter und Trainerentschädigungen erwachsen. Indessen hat diese trotz Auflage und Mahnung des kantonalen Steueramts die geltend gemachte Höhe dieser Aufwendungen nicht nachgewiesen. Sie hat bloss Rechnungen von C eingereicht, aufgrund welcher ihm Akontozahlungen in Höhe von Fr. 195'476.- geleistet wurden, worin aber dessen Leistungen nicht näher umschrieben sind, sondern lediglich den pauschalen Vermerk "Honorare für Verkaufstraining" tragen. Da somit das Ausmass der in Frage stehenden geschäftsmässig begründeten Aufwendungen aufgrund der Säumnis der Pflichtigen ungewiss blieb, hat das Steueramt deren Höhe zu Recht gestützt auf § 139 Abs. 2 StG nach pflichtgemässem Ermessen geschätzt (vgl. Erwägung 3b).</w:t>
      </w:r>
    </w:p>
    <w:p>
      <w:r>
        <w:rPr>
          <w:b/>
        </w:rPr>
        <w:t>E. 4</w:t>
      </w:r>
    </w:p>
    <w:p>
      <w:r>
        <w:t>a) Eine Ermessenseinschätzung kann gemäss § 140 Abs. 2 Satz 1 StG nur wegen offensichtlicher Unrichtigkeit angefochten werden. Der Steuerpflichtige hat den Nachweis der offensichtlichen Unrichtigkeit im Einspracheverfahren, spätestens aber im Rekursverfahren zu erbringen, und zwar dadurch, dass er innerhalb der Rechtsmittelfrist die versäumten Verfahrenspflichten erfüllt, eine zur Beseitigung der Ungewissheit über die tatsächlichen Verhältnisse erforderliche substanzierte Sachdarstellung gibt und hierfür notwendige Beweismittel beibringt oder zumindest anbietet.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Richner/Frei/Kaufmann, § 140 N. 55 ff.; Zweifel, Art. 48 StHG N. 48 ff.). b) Die Pflichtige hat, wie die Rekurskommission zutreffend erwogen hat, weder im Einsprache- noch im Rekursverfahren die versäumten Verfahrenspflichten erfüllt und die geschäftsmässige Begründetheit der geltend gemachten Aufwendungen für Gehälter und Trainerentschädigungen durch Unterlagen vollständig nachgewiesen. Sie hat über die insoweit nichts sagenden Rechnungen für Akontozahlungen hinaus keinerlei Aufstellungen – z.B. detaillierte Arbeitsrapporte oder dergleichen – eingereicht. Bei den Ausführungen in der Beschwerdeschrift zur Tätigkeit von C handelt es sich um unzulässige neue tatsächliche Behauptungen, die nicht zu hören sind (vgl. Erwägung 2b). c) Hat aber die Pflichtige den Nachweis der Unrichtigkeit der Ermessenseinschätzung nicht geleistet, ist nur noch die Höhe der getroffenen Schätzung auf offensichtliche Unrichtigkeit hin zu prüfen. "Offensichtlich unrichtig" ist eine Schätzung dann, wenn sie willkürlich ist. Das ist namentlich der Fall, wenn sie sich nach den Akten als geradezu unmöglich, als sachlich nicht begründbar erweist (RB 1963 Nr. 62 = ZBl 65/1964, S. 384 = ZR 65 Nr. 13). Das kantonale Steueramt hat die geschäftsmässig begründeten Entschädigungen an C auf 85 % des Umsatzes der Pflichtigen geschätzt, entsprechend dem Verhältnis des Vorjahrs. Inwiefern dieses Vorgehen sachwidrig sein soll, ist nicht ersichtlich. Dass es sich bei der Pflichtigen um einen Dienstleistungsbetrieb handelt, vermag die Schätzungsmethode angesichts dessen, dass diese es versäumt hat, taugliche Schätzungsgrundlagen zu liefern, nicht zu erschüttern. Der Hinweis auf die Verhältnisse der folgenden Jahre ist ohnehin ein im Beschwerdeverfahren nicht statthaftes Novum (vgl. Erwägung 2b). Die Schätzung erweist sich aufgrund der Akten nicht als willkürlich. Das führt zur Abweisung der Beschwerde der Pflichtigen.</w:t>
      </w:r>
    </w:p>
    <w:p>
      <w:r>
        <w:rPr>
          <w:b/>
        </w:rPr>
        <w:t>E. 5</w:t>
      </w:r>
    </w:p>
    <w:p>
      <w:r>
        <w:t>Das Einspracheverfahren ist gemäss Art. 142 Abs. 2 StG kostenfrei (Satz 1). Die Kosten dieses Verfahrens können jedoch dem Steuerpflichtigen oder jeder andern zur Auskunft verpflichteten Person auferlegt werden, die diese Kosten durch eine schuldhafte Verletzung von Verfahrenspflichten notwendig gemacht haben (Satz 2). Die Pflichtige hat im Einschätzungsverfahren keine tauglichen Unterlagen zum Nachweis der geschäftsmässigen Begründetheit der Entschädigungen an C für Gehälter und Trainerentschädigungen beigebracht und auf diese Weise Verfahrenspflichten verletzt (vgl. Erwägungen 3a und 4b). Da sie nicht dargetan hat, dass ihr die gehörige Erfüllung der Verfahrenspflichten unmöglich oder unzumutbar gewesen ist, darf ohne weiteres angenommen werden, sie habe diese Pflichten schuldhaft verletzt (vgl. Martin Zweifel in: Kommentar zum Schweizerischen Steuerrecht I/2b, Basel/Genf/München 2000, Art. 135 DBG N. 25). Demzufolge sind ihr die Einsprachekosten von Fr. 200.- aufzuerlegen. Das führt zur Gutheissung der Beschwerde des kantonalen Steueramts.</w:t>
      </w:r>
    </w:p>
    <w:p>
      <w:r>
        <w:rPr>
          <w:b/>
        </w:rPr>
        <w:t>E. 6</w:t>
      </w:r>
    </w:p>
    <w:p>
      <w:r>
        <w:t>Bei diesem Verfahrensausgang sind die Rekurs- sowie die Gerichtskosten vollumfänglich der Pflichtigen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