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SB.2002.00071 vom 23. Oktober 2002</w:t>
      </w:r>
    </w:p>
    <w:p>
      <w:r>
        <w:t>ZH Verwaltungsgericht, 2002-10-23, DE</w:t>
      </w:r>
    </w:p>
    <w:p>
      <w:r>
        <w:rPr>
          <w:b/>
        </w:rPr>
        <w:t xml:space="preserve">Quelle: </w:t>
      </w:r>
      <w:r>
        <w:t>https://mcp.opencaselaw.ch/entscheid/zh_verwaltungsgericht__SB.2002.00071</w:t>
      </w:r>
    </w:p>
    <w:p>
      <w:r>
        <w:t>FR: ZH_VERWALTUNGSGERICHT SB.2002.00071 du 23 octobre 2002</w:t>
      </w:r>
    </w:p>
    <w:p>
      <w:r>
        <w:t>IT: ZH_VERWALTUNGSGERICHT SB.2002.00071 del 23 ottobre 2002</w:t>
      </w:r>
    </w:p>
    <w:p>
      <w:pPr>
        <w:pStyle w:val="Heading2"/>
      </w:pPr>
      <w:r>
        <w:t>Regeste</w:t>
      </w:r>
    </w:p>
    <w:p>
      <w:r>
        <w:t>Einschätzung 1999 | Privat- oder Geschäftsvermögen Streitig war die Abzugsfähigkeit der Unterhaltskosten einer Liegenschaft, die im Gesamteigentum von drei Anwälten einer Anwaltsgemeinschaft von total vier Partnern steht. Der Personenkreis der Anwaltsgemeinschaft und jener der Eigentümergemeinschaft ist somit nicht identisch. Ferner ist die Liegenschaft nicht in den Geschäftsbüchern der Anwaltsgemeinschaft aufgeführt. Vielmehr wird sie von den Eigentümern der Anwaltsgemeinschaft zu einem marktüblichen Mietzins zur Nutzung als Geschäftslokalität überlassen. Die Liegenschaft ist daher als Privatvermögen des Pflichtigen zu würdigen und nicht als Geschäftsvermögen der Anwaltsgemeinschaft.</w:t>
      </w:r>
    </w:p>
    <w:p>
      <w:pPr>
        <w:pStyle w:val="Heading2"/>
      </w:pPr>
      <w:r>
        <w:t>Erwägungen</w:t>
      </w:r>
    </w:p>
    <w:p>
      <w:r>
        <w:rPr>
          <w:b/>
        </w:rPr>
        <w:t>E. 2</w:t>
      </w:r>
    </w:p>
    <w:p>
      <w:r>
        <w:t>Als Geschäftsvermögen gelten nach § 18 Abs. 3 Satz 1 des Steuergesetzes vom 8. Juni 1997 (StG) alle Vermögenswerte, die ganz oder vorwiegend der selbständigen Erwerbstätigkeit dienen. a) Die Zuordnung alternativer Wirtschaftsgüter – wie der streitbetroffenen Liegenschaft – zum Geschäftsvermögen hat nach Lehre und Rechtsprechung im Einzelfall unter Würdigung der gesamten Umstände zu erfolgen. Abzustellen ist dabei auf die aktuelle tech­nisch-wirtschaftliche Funktion eines Wirtschaftsguts. Wenn ein solches Gut im Beurteilungszeitpunkt objektiv erkennbar für Geschäftszwecke verwendet wird bzw. der selbständigen Erwerbstätigkeit tatsächlich dient, so bildet es unabhängig von der Herkunft der Mittel oder vom Erwerbsmotiv Geschäftsvermögen (Markus Reich, in: Kommentar zum Schweizerischen Steuerrecht I/1, Basel/Frankfurt am Main 1997, Art. 8 N. 48 mit Hinweisen auf die bundes- und verwaltungsgerichtliche Rechtsprechung). Allerdings können grund­sätzlich nur solche Werte Geschäftsvermögen sein, welche sich im Eigentum des In­habers bzw. der Gesellschafter des Personenunternehmens befinden, es sei denn, diese Personen könnten tatsächlich wie Eigentümer über den Vermö­gensgegenstand verfügen (vgl. Peter Locher, Kommentar zum DBG, Therwil/Basel 2002, Art. 18 N. 127 ff., und Markus Reich, in: Kommentar zum Schweizerischen Steuerrecht I/2a, Basel/Genf/­Mün­chen 2000, Art. 18 DBG N. 46, je mit Verweisungen). Im Rahmen der anzustellenden Würdigung ist schliesslich der Wille des Steuerpflichtigen mitzuberücksichtigen, wie er aus objektivierter – ausdrücklicher oder stillschweigender – Willenskundgebung hervorgeht. Der buchmässigen Behandlung kommt dann gewichtige Bedeutung zu, wenn die buchhal­terische Darstel­lung mit den tatsächlichen Verhältnissen in Einklang steht (RB 1982 Nr. 61; vgl. auch Locher, Art. 18 N. 135 f.). b) Die Liegenschaft K-strasse in X dient der Anwaltsgemeinschaft E, welche aus den Gesellschaftern A, C, D und F gebildet wird, als Geschäftslokalität. Insoweit würde die ausschliesslich geschäftliche Nutzung der Liegenschaft klar für deren Zugehörigkeit zum Ge­schäftsvermögen sprechen. Indessen befindet sich die Liegenschaft nicht im Eigentum aller vier Gesellschafter der Anwaltsgemeinschaft. Sie steht lediglich im Eigentum von A, C und D. Fallen aber der Personenkreis der Anwaltsgemeinschaft und derjenige der Eigentümerschaft auseinander, kann der Tatsache, dass die Liegenschaft von der Anwaltsgemeinschaft geschäftlich genutzt wird, keine besondere Bedeutung zukommen, sondern erweist sich dieses Kriterium bloss als eines unter anderen. Bei dieser Sachlage geht es jedenfalls nicht an, bloss aus dem Umstand, dass drei von vier Gesellschaftern der Anwaltsgemeinschaft Eigentümer der Liegenschaft sind, abzuleiten, diese werde gemischt genutzt – nämlich geschäftlich von den Eigentümern und privat von der Nichteigentümerin – und diene, weil mehr Gesellschafter Eigentümer als Nichteigentümer seien, überwiegend der selbstän­digen Erwerbstätigkeit dieser Personen. Vielmehr muss in einem derartigen Fall unter Abwägung aller erheblichen Umstände die objektivierte Willenskundgebung des Pflichtigen ermittelt werden. In diesem Licht betrachtet spricht die Tatsache, dass die Liegenschaftseigentümer die Liegenschaft der Anwaltsgemeinschaft nicht unentgeltlich überlassen, sondern zu einem bestimmten, unstreitig marktüblichen Mietzins vermietet haben, objektiv dafür, dass sie die Liegenschaft ihrem Privatvermögen zugerechnet haben wollten. In Übereinstimmung damit ist die Liegenschaft nicht in die Geschäftsbücher der Anwaltsgemeinschaft aufgenommen oder vom Pflichtigen als Geschäftsvermögen bezeichnet bzw. deklariert wor­den. Steht infolgedessen die buchmässige Darstellung nicht in Widerspruch, sondern vielmehr im Einklang mit den tatsächlichen Verhältnissen, kommt ihr gewichtige Bedeutung zu. Dagegen vermag die Tatsache allein, dass die Liegenschaft unter anderem auch von den Liegenschaftseigentümern geschäftlich genutzt wird, nicht aufzukommen. Unter Abwägung aller Umstände ist somit die Liegenschaft K-strasse in X als Privatvermögen des Pflichtigen zu würdigen.</w:t>
      </w:r>
    </w:p>
    <w:p>
      <w:r>
        <w:rPr>
          <w:b/>
        </w:rPr>
        <w:t>E. 3</w:t>
      </w:r>
    </w:p>
    <w:p>
      <w:r>
        <w:t>Demzufolge erweisen sich die Aufwendungen des Pflichtigen im Jahr 1998 für die erwähnte Liegenschaft von Fr. 8'485.- im Sinn von § 3 lit. a Satz 1 der regierungsrätlichen Verordnung vom 14. Oktober 1998 in Verbindung mit Art. 69 Abs. 4 und 5 StHG als ausserordentlich und sind daher in der Steuerperiode 1999 abzugsfähig. Das führt zur Gutheissung der Beschwerde.</w:t>
      </w:r>
    </w:p>
    <w:p>
      <w:r>
        <w:rPr>
          <w:b/>
        </w:rPr>
        <w:t>E. 4</w:t>
      </w:r>
    </w:p>
    <w:p>
      <w:r>
        <w:t>Bei diesem Verfahrensausgang sind die Kosten dem Beschwerdegegner aufzuerlegen (§ 151 Abs. 1 in Verbindung mit § 153 Abs. 4 StG). Dieser hat den Beschwerdeführer für das Rekurs- und Beschwerdeverfahren eine Parteientschädigung zu entrichten (§ 17 Abs. 2 des Verwaltungsrechtspflegegesetzes vom 24. Mai 1959 in Verbindung mit § 152 und § 153 Abs. 4 StG).</w:t>
      </w:r>
    </w:p>
    <w:p>
      <w:r>
        <w:rPr>
          <w:b/>
        </w:rPr>
        <w:t>E. 5</w:t>
      </w:r>
    </w:p>
    <w:p>
      <w:r>
        <w:t>Der vorliegende Entscheid betrifft einen Sachverhalt, der in die Zeit der in Art. 72 Abs. 1 StHG vorgesehenen achtjährigen, am 31. Dezember 2000 abgelaufenen Frist zur An­passung der kantonalen Gesetzgebung an das Steuerharmonisierungsgesetz fällt. Während der Übergangsfrist sind die Vorschriften dieses Gesetzes nicht anwendbar, und zwar selbst dann, wenn der Kanton sein Steuerrecht bereits an das Gesetz angepasst hat (BGE 123 II 588 E. 2d S. 587). Die in Art. 73 StHG gegen letztinstanzliche kantonale Entscheide vorgesehene Ver­wal­tungsgerichtsbeschwerde ist somit zur Überprüfung der Anwen­­dung des kantonalen Ste­u­er­rechts selbst dann nicht vor dem 1. Januar 2001 zulässig, wenn das kantonale Recht dem Steuerharmonisierungsgesetz bei dessen Inkrafttreten bereits entspricht oder diesem später, jedoch vor dem 1. Januar 2001, angepasst wird. Während der Übergangsfrist sind bei der Rechtsanwendung somit einzig die Schranken der verfassungsmässigen Rechte zu beachten, deren Verletzung mit staatsrechtlicher Beschwerde zu rügen ist (Art. 84 Abs. 1 lit. a des Bun­desgesetzes über die Organisation der Bundesrechtspflege vom 16. Dezember 1943). Die entschiedene Sache liegt jedoch insofern anders, als sich der Gesetzgeber selber über die Anpassungsfrist von Art. 72 Abs. 1 StHG hinweggesetzt hat (siehe vorstehend Er­wägung 1). Unter den gegebenen besonderen Umständen könnte vertreten werden, dass aus­nahmsweise die Verwaltungsgerichtsbeschwerde im Sinn von Art. 73 StHG bzw. § 154 Abs. 1 StG zulässig wäre. Darüber hat aber das Bundesgericht zu befinden. Das Verwaltungs­gericht begnügt sich deshalb mit dem vorliegenden Hinweis an die Parteien und verzich­tet auf eine entsprechende Rechtsmittelbelehrung im nachfolgenden Entscheiddispositiv. Demgemäss entscheidet die Kammer: 1.    Die Beschwerde wird gutgeheissen. Der Beschwerdeführer wird für die Steuerperiode 1999 mit einem steuerbaren Einkommen von Fr. 120'100.- (Zürich und Gesamt) sowie einem steuerbaren Vermögen von Fr. 23'000.- (Zürich) bzw. Fr. 26'000.- (Gesamt) ein­geschätzt. 2. Die Rekurskosten werden dem Beschwerdegegner auferlegt.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