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SB.2002.00026 vom 3. Juli 2002</w:t>
      </w:r>
    </w:p>
    <w:p>
      <w:r>
        <w:t>ZH Verwaltungsgericht, 2002-07-03, DE</w:t>
      </w:r>
    </w:p>
    <w:p>
      <w:r>
        <w:rPr>
          <w:b/>
        </w:rPr>
        <w:t xml:space="preserve">Quelle: </w:t>
      </w:r>
      <w:r>
        <w:t>https://mcp.opencaselaw.ch/entscheid/zh_verwaltungsgericht__SB.2002.00026</w:t>
      </w:r>
    </w:p>
    <w:p>
      <w:r>
        <w:t>FR: ZH_VERWALTUNGSGERICHT SB.2002.00026 du 3 juillet 2002</w:t>
      </w:r>
    </w:p>
    <w:p>
      <w:r>
        <w:t>IT: ZH_VERWALTUNGSGERICHT SB.2002.00026 del 3 luglio 2002</w:t>
      </w:r>
    </w:p>
    <w:p>
      <w:pPr>
        <w:pStyle w:val="Heading2"/>
      </w:pPr>
      <w:r>
        <w:t>Regeste</w:t>
      </w:r>
    </w:p>
    <w:p>
      <w:r>
        <w:t>ausserordentliche Einkünfte (Steuerjahr 1998) | Ausserordentliche Einkünfte, Bemessungslücke Eine erstmals im Lückenjahr an den die Gesellschaft beherrschenden Aktionär ausgeschüttete Dividende ist eine ausserordentliche Einkunft im Sinn von Art. 69 StHG. Die nach dem Wechsel des Bemessungssystems regelmässig ausgeschütteten Dividenden haben auf diese Qualifikation keinen Einfluss.</w:t>
      </w:r>
    </w:p>
    <w:p>
      <w:pPr>
        <w:pStyle w:val="Heading2"/>
      </w:pPr>
      <w:r>
        <w:t>Erwägungen</w:t>
      </w:r>
    </w:p>
    <w:p>
      <w:r>
        <w:rPr>
          <w:b/>
        </w:rPr>
        <w:t>E. 2</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Steuergesetzes vom 8. Juli 1951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veröffentlicht auf http://www.vgrzh.ch/rechtsprechung) auch bei Beendigung des Bemessungssystems der Sonderregelung von § 275 Abs. 1 und 3 StG bzw. von Art. 69 Abs. 1 StHG bzw. von § 1 der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einen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alle Dividenden – nicht nur Substanzdividenden – als ausserordentliche Einkünfte zu würdigen, welche die vorstehend umschriebenen, von der Rechtsprechung entwickelten Vo­raus­­setzungen erfüllen. b) Die Frage, ob die streitbetroffene, im Jahr 1998 zugeflossene Dividende von Fr. 1'275'000.- eine ausserordentliche Einkunft darstellt, ist infolgedessen ausschliesslich unter dem Gesichtswinkel des vorliegend noch anwendbaren Bemessungssystems der Pränumerandobesteuerung mit Vergangenheitsbemessung und im Licht der hierzu soeben (un­ter Erwägung a) wiedergegebenen Überlegungen der Rechtsprechung zu beantworten. Dabei handelt es sich entgegen der Meinung der Beschwerdeführenden nicht um eine Beweis-, sondern um eine Rechtsfrage. Inwiefern sodann nach deren Ansicht eine "bemessungsrechtliche Betrachtungsweise" nur bei Steuerumgehung angezeigt sei, ist unerfindlich. Denn die gesetzliche Sonderordnung für ausserordentliche Einkünfte hat – wie darge­legt wurde – allein bemessungsrechtliche Gründe, und zwar solche, die mit dem auf den 1. Ja­nuar 1999 aufgehobenen System der Pränumerandobesteuerung mit Vergangenheitsbemessung zusammenhängen. Das neue Bemessungssystem – dasjenige der Gegenwartsbemessung – bedarf demgegenüber keiner Systemkorrekturen durch eine derartige Sonder­ord­nung. Aus bemessungsrechtlicher Sicht kommt es zunächst entgegen der Auffassung der Be­schwerdeführenden nicht darauf an, aus welchen sachlichen Motiven die Aktionäre entschie­den haben, erstmals im Jahr 1998 eine Dividende auszuschütten. Deshalb ist es insbeson­dere unwesentlich, dass in den früheren Geschäftsjahren trotz erheblicher Gewinne "aus geschäftspolitischen – bzw. existenzsichernden, d.h. objektiv gebotenen – Gründen", keine Aus­schüttungen erfolgten. Des Weiteren sind bemessungsrechtlich einzig solche Gesichtspunkte massgebend, wel­che die Zeit vor dem Wechsel des Bemessungssystems betreffen, geht es doch einzig um die Frage, ob wirtschaftliche Leistungsfähigkeit und Steuerbelastung der Beschwerdefüh­renden in dieser zeitlichen Phase erheblich auseinander fallen. Tatsachen, die sich nach dem Wechsel des Systems der zeitlichen Beendigung verwirklicht haben, müssen daher aus­ser Betracht bleiben. Die in den Folgejahren von der N. AG ausgeschütteten Dividenden sind somit entgegen der Ansicht der Beschwerdeführenden nicht in die Beurteilung der be­mes­­sungsrechtlichen Würdigung der streitbetroffenen Dividende 1997/98 einzubeziehen. Dem­zufolge erscheinen diese erstmals und – unter dem System der Vergangenheits­be­mes­sung letztmals – im Jahr 1998 ausgerichteten Dividende insofern als einmalig ("singulär"), als der Gesetzgeber dieses System auf den 1. Januar 1999 aufgehoben und durch das System der Gegenwartsbemessung ersetzt hat. Die gesetzliche Fiktion, das Einkommen des dem Steuerjahr vorangegangenen Kalen­derjahrs sei gleich hoch wie jenes des Steuerjahrs, bedingt schliesslich bei grundsätzlich pe­­riodisch fliessendem Einkommen die Prüfung, ob das betreffende Einkommen im Bemes­­sungs- bzw. Steuerjahr im Vergleich mit dem periodischen Fluss der Einkommensquel­le und unter Berücksichtigung deren Natur zu einer unhaltbaren Verzerrung von wirtschaft­licher Leistungsfähigkeit und Steuerbelastung des Steuerpflichtigen führt. Unter diesem As­pekt ist von Bedeutung, dass die N. AG von ihrer Gründung im Jahr 1993 an bis und mit Geschäftsjahr 1996/97 ungeachtet der erwirtschafteten Gewinne keine Dividenden ausgerich­tet hat. Dem steht die fragliche Dividende 1997/98 gegenüber, welche mit insgesamt Fr. 2'375'000.- rund das Zweieinhalbfache des Aktienkapitals beträgt, was unter dem Gesichtswinkel der Periodizität mit Bezug auf die in Frage stehende Einkommensquel­le einer nicht haltbaren Verzerrung von wirtschaftlicher Leistungsfähigkeit und Steuer­belastung gleich­kommt. c) Unter Würdigung der dargelegten bemessungsrechtlich erheblichen Umstände er­gibt sich, dass die Dividende 1997/98 von Fr. 1'275'000.- im Vergleich zum in den vorange­­gangenen rund fünf Jahren, also seit Gründung der Gesellschaft, unterbliebenen Dividen­denfluss als einmalig erscheint. Wäre die Dividende ebenfalls nur ein einziges Mal zu Beginn der Steuerpflicht ausgeschüttet worden, so wäre deren zweimalige Berücksichtigung bei der Steuerbemessung stossend und mit dem Leistungsfähigkeitsprinzip unvereinbar ge­wesen. Sie bildet demzufolge eine ausserordentliche Einkunft im Sinn des Gesetzes, die auch bei Beendigung der Steuerpflicht der entsprechenden Sonderregelung unterworfen wer­den muss. Für eine Aufteilung des Dividendenbetrags in eine ordentliche und eine ausserordent­liche Komponente, welche die Beschwerdeführenden eventualiter verfechten, besteht kein sachlicher Grund; vielmehr ist von der gegebenen rechtlichen Gestaltung der tatsächli­chen Verhältnisse und damit von der beschlossenen Dividende als solcher auszugehen. Des­­halb kann auch der subeventualiter vertretenen Rückweisung der Sache an die Vorinstanz nicht gefolgt werden. d) Die Berufung der Beschwerdeführenden auf den verfassungsmässigen Grundsatz von Treu und Glauben (Art. 9 BV) ist haltlos: Weder vermag das Referat eines hohen Funk­­tio­närs des Steueramts an einem öffentlichen Seminar noch die an andere Steuerberater erteilten Auskünfte eine hinreichende Vertrauensgrundlage zu begründen. Die behaupte­ten Aussagen und Auskünfte, deren Wortlaut nicht bekannt ist, stammen darüber hinaus of­fenkundig aus der Zeit vor der Änderung von Art. 69 StHG bzw. dem Erlass der regierungs­rätlichen Verordnung. Nachträgliche Rechtsänderungen gehen aber grundsätzlich dem Vertrauensschutz vor (BGE 117 Ia 285 E. 3). Gleiches gilt im Wesentlichen auch für Pra­xisänderungen (BGE 103 Ib 197 E. 4). Ferner ist nicht erkennbar, welches die ohne Nachteil nicht wieder rückgängig gemach­­ten Dispositionen der Beschwerdeführenden sind, behaupten sie doch selber nicht, die Ge­winnausschüttung der N. AG absichtlich erstmals im Lückenjahr 1998 ver­anlasst zu ha­ben, sondern führen sie hierfür andere Motive an. Nach alledem berufen sich die Beschwerdeführenden schliesslich zu Unrecht da­rauf, die Vorinstanzen, insbesondere die Steuerrekurskommissionen, hätten widersprüchliche Entscheide gefällt. Das führt zur Abweisung der Beschwerde.</w:t>
      </w:r>
    </w:p>
    <w:p>
      <w:r>
        <w:rPr>
          <w:b/>
        </w:rPr>
        <w:t>E. 3</w:t>
      </w:r>
    </w:p>
    <w:p>
      <w:r>
        <w:t>...</w:t>
      </w:r>
    </w:p>
    <w:p>
      <w:r>
        <w:rPr>
          <w:b/>
        </w:rPr>
        <w:t>E. 4</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des Bundesgesetzes über die Organisation der Bundesrechtspflege vom 16. Dezember 1943). Die entschiedene Sache liegt jedoch insofern anders, als sich der Gesetzgeber selber über die Anpassungsfrist von Art. 72 Abs. 1 StHG hinweggesetzt hat (siehe vorstehend Er­wägung 1c).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