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SB.2000.00075 vom 23. Mai 2001</w:t>
      </w:r>
    </w:p>
    <w:p>
      <w:r>
        <w:t>ZH Verwaltungsgericht, 2001-05-23, DE</w:t>
      </w:r>
    </w:p>
    <w:p>
      <w:r>
        <w:rPr>
          <w:b/>
        </w:rPr>
        <w:t xml:space="preserve">Quelle: </w:t>
      </w:r>
      <w:r>
        <w:t>https://mcp.opencaselaw.ch/entscheid/zh_verwaltungsgericht__SB.2000.00075</w:t>
      </w:r>
    </w:p>
    <w:p>
      <w:r>
        <w:t>FR: ZH_VERWALTUNGSGERICHT SB.2000.00075 du 23 mai 2001</w:t>
      </w:r>
    </w:p>
    <w:p>
      <w:r>
        <w:t>IT: ZH_VERWALTUNGSGERICHT SB.2000.00075 del 23 maggio 2001</w:t>
      </w:r>
    </w:p>
    <w:p>
      <w:pPr>
        <w:pStyle w:val="Heading2"/>
      </w:pPr>
      <w:r>
        <w:t>Regeste</w:t>
      </w:r>
    </w:p>
    <w:p>
      <w:r>
        <w:t>Einschätzung 1997 | Einsprache Ein erstes Schreiben der Pflichtigen konnte mangels klarem Einsprachewillen nicht als Einsprache entgegen genommen werden. Später erfolgte Eingaben erwiesen sich als verspätet und eine Fristwiederherstellung war nicht möglich. Zu Recht ist deshalb die Einsprachebhörde auf die "Einsprache" nicht eingetreten. Offengelassen, da i.c. unerheblich, ob die bei Einsprachen gegen Einschätzungen nach pflichtgemässem Ermessen in § 140 Abs. 2 StG verlangte Begründung für das Recht der zürcherischen Staats- und Gemeindesteuern wirklich eine Prozessvoraussetzung darstellt.</w:t>
      </w:r>
    </w:p>
    <w:p>
      <w:pPr>
        <w:pStyle w:val="Heading2"/>
      </w:pPr>
      <w:r>
        <w:t>Erwägungen</w:t>
      </w:r>
    </w:p>
    <w:p>
      <w:r>
        <w:rPr>
          <w:b/>
        </w:rPr>
        <w:t>E. 2</w:t>
      </w:r>
    </w:p>
    <w:p>
      <w:r>
        <w:t>Richtet sich die Beschwerde – wie hier – gegen einen Entscheid der Rekurskom­mis­sion, mit welchem diese einen Nicht­eintretensentscheid des kantonalen Steueramts ge­schützt hat, so darf das Verwaltungsgericht lediglich prüfen, ob die vorin­stanzliche Beur­teilung der Ein­tre­tensfrage an den beschwerdefähigen Rechtsmängeln leide. Ein weiterge­hender, mate­riell­recht­li­cher Entscheid – namentlich über die Einschätzung – ist dem Ge­richt unter die­sen Umständen, gleich wie der Rekurskommission, von vornherein verwehrt (RB 1999 Nr. 152). Deshalb ist auf die Beschwerde der Pflichtigen insoweit, als sie Anträge zur Ein­schät­zung des Steuerjahrs 1997 enthält, nicht einzutreten.</w:t>
      </w:r>
    </w:p>
    <w:p>
      <w:r>
        <w:rPr>
          <w:b/>
        </w:rPr>
        <w:t>E. 3</w:t>
      </w:r>
    </w:p>
    <w:p>
      <w:r>
        <w:t>Die Rekurskommission hat mit zutreffen­der und ein­lässlicher Begründung dar­gelegt, dass und weshalb es den Pflichtigen vorerst am vorbehaltlosen Einsprachewillen fehlte, ihre schliesslich erfolgte Einsprache ge­gen die unbestrittenermassen und zu Recht nach pflichtgemässem Ermessen erfolgte Einschätzung 1997 des Steuerkommissärs ver­spätet war und ihnen kei­ne Frist­wiederherstellung gewährt werden konnte. Mit diesen Aus­führungen setzen sich die Pflichtigen allerdings kaum auseinander, sondern beschränken sich vielmehr eingestandenermassen auf die Anfechtung der Annahme der Vorinstanz, "dass den Beschwerdeführenden bzw. den Vertretern angeblich bewusst gewesen sein soll, dass die Eingabe vom 28. Februar 2000 nicht die Voraussetzungen einer gültigen Einspra­che erfüllte". Sodann halten sie unter Erneuerung des bereits im Rekurs Vorgebrachten daran fest, für eine gültige Einsprache genüge neben der Einhaltung der Rechtsmittelfrist der schriftlich, vorbehalts- und bedingungslos erklärte Wille, den Veranlagungsentscheid anzufechten. Un­ter diesen Umständen kann sich das Verwaltungsgericht darauf beschrän­ken, auf die fallbezogenen Erwägun­gen der Rekurskommission zu ver­weisen, welchen es vollumfänglich beipflichtet (vgl. § 161 des Gerichtsverfassungs­ge­set­zes vom 13. Juni 1976). Demgemäss ist die Beschwerde abzuweisen. Nicht beantwortet zu werden braucht im vorliegenden Fall damit an sich die Frage, ob die bei Einsprachen gegen Einschätzungen nach pflichtgemässem Ermessen in § 140 Abs. 2 StG verlangte Begründung eine Prozessvoraussetzung darstellt. Nur am Rand sei deshalb angemerkt, dass die bei der direkten Bundessteuer seit jeher geltende Praxis (vgl. Art 101 Abs. 2 des Bundesratsbeschlusses über die Erhebung einer direkten Bundessteuer vom 9. Dezember 1940) nicht unbesehen auf das zürcherische Recht übertragen werden kann. Gerade auch der stets zitierte, zum Bundessteuerrecht ergangene BGE 123 II 552 weist in Erwägung 4c nämlich unter Verweis auf die entsprechende Botschaft des Bundes­rats darauf hin, dass sich die Regelung von Art. 132 Abs. 3 des Bundesgesetzes über die direkte Bundessteuer vom 14. De­zember 1990 unter anderem an die Regelung von § 90 Abs. 3 aStG anlehnt, bei welcher die Begründung keine Prozessvoraussetzung, sondern – nur, aber immerhin – eine für eine Gutheissung notwendige materielle Voraussetzung darstellt.</w:t>
      </w:r>
    </w:p>
    <w:p>
      <w:r>
        <w:rPr>
          <w:b/>
        </w:rPr>
        <w:t>E. 4</w:t>
      </w:r>
    </w:p>
    <w:p>
      <w:r>
        <w:t>... Demgemäss entscheidet das Verwaltungsgericht: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