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SB.2000.00022 vom 5. Juli 2000</w:t>
      </w:r>
    </w:p>
    <w:p>
      <w:r>
        <w:t>ZH Verwaltungsgericht, 2000-07-05, DE</w:t>
      </w:r>
    </w:p>
    <w:p>
      <w:r>
        <w:rPr>
          <w:b/>
        </w:rPr>
        <w:t xml:space="preserve">Quelle: </w:t>
      </w:r>
      <w:r>
        <w:t>https://mcp.opencaselaw.ch/entscheid/zh_verwaltungsgericht__SB.2000.00022</w:t>
      </w:r>
    </w:p>
    <w:p>
      <w:r>
        <w:t>FR: ZH_VERWALTUNGSGERICHT SB.2000.00022 du 5 juillet 2000</w:t>
      </w:r>
    </w:p>
    <w:p>
      <w:r>
        <w:t>IT: ZH_VERWALTUNGSGERICHT SB.2000.00022 del 5 luglio 2000</w:t>
      </w:r>
    </w:p>
    <w:p>
      <w:pPr>
        <w:pStyle w:val="Heading2"/>
      </w:pPr>
      <w:r>
        <w:t>Regeste</w:t>
      </w:r>
    </w:p>
    <w:p>
      <w:r>
        <w:t>Einschätzung 1991 | "Transponierung" Wenn eine vom Pflichtigen beherrschte Holding fremdfinanziert und unter Einschaltung des Pflichtigen 50% der Aktien einer AG erwirbt, deren andere 50% der Pflichtige bereits zuvor in die genannte Holding eingebracht hat, so liegt steuerbarer Vermögensertrag im Umfang der Differenz zwischen Einbringungspreis und einbezahltem Gesellschaftsanteil vor. Abweisung.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