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SB.1999.00095 vom 22. März 2000</w:t>
      </w:r>
    </w:p>
    <w:p>
      <w:r>
        <w:t>ZH Verwaltungsgericht, 2000-03-22, DE</w:t>
      </w:r>
    </w:p>
    <w:p>
      <w:r>
        <w:rPr>
          <w:b/>
        </w:rPr>
        <w:t xml:space="preserve">Quelle: </w:t>
      </w:r>
      <w:r>
        <w:t>https://mcp.opencaselaw.ch/entscheid/zh_verwaltungsgericht__SB.1999.00095</w:t>
      </w:r>
    </w:p>
    <w:p>
      <w:r>
        <w:t>FR: ZH_VERWALTUNGSGERICHT SB.1999.00095 du 22 mars 2000</w:t>
      </w:r>
    </w:p>
    <w:p>
      <w:r>
        <w:t>IT: ZH_VERWALTUNGSGERICHT SB.1999.00095 del 22 marzo 2000</w:t>
      </w:r>
    </w:p>
    <w:p>
      <w:pPr>
        <w:pStyle w:val="Heading2"/>
      </w:pPr>
      <w:r>
        <w:t>Regeste</w:t>
      </w:r>
    </w:p>
    <w:p>
      <w:r>
        <w:t>Einschätzungen 1996-1998 | Abgrenzung selbständige Erwerbstätigkeit/Liebhaberei. Verletzung des rechtlichen Gehörs. Es gibt keine feste Frist, binnen derer zwingend Gewinne erwirtschaftet werden müssen, damit noch eine Absicht der Gewinnerzielung (und nicht Liebhaberei) angenommen werden kann (E. 1a). Der Steuerkommissär hat den Pflichtigen erst im Einspracheentscheid eröffnet, es fehle für die Annahme einer selbständigen Erwerbstätigkeit zudem am Element des "gegen aussen in Erscheinung treten". Darauf hat die Rekurskommission festgehalten, die Pflichtigen hätten nicht genügend dargetan, dass dem nicht so sei. Da der Steuerkommissär selbst aber keine Untersuchung geführt und die Rekurskommission dies nicht korrigiert hat, wurde den Pflichtigen das rechtliche Gehör verweigert (E. 1b). Teilweise Gutheissung der Beschwerde und Sprungrückweisung ins Einspracheverfahren.</w:t>
      </w:r>
    </w:p>
    <w:p>
      <w:pPr>
        <w:pStyle w:val="Heading2"/>
      </w:pPr>
      <w:r>
        <w:t>Erwägungen</w:t>
      </w:r>
    </w:p>
    <w:p>
      <w:r>
        <w:rPr>
          <w:b/>
        </w:rPr>
        <w:t>E. 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