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SB.1999.00071 vom 28. Juni 2000</w:t>
      </w:r>
    </w:p>
    <w:p>
      <w:r>
        <w:t>ZH Verwaltungsgericht, 2000-06-28, DE</w:t>
      </w:r>
    </w:p>
    <w:p>
      <w:r>
        <w:rPr>
          <w:b/>
        </w:rPr>
        <w:t xml:space="preserve">Quelle: </w:t>
      </w:r>
      <w:r>
        <w:t>https://mcp.opencaselaw.ch/entscheid/zh_verwaltungsgericht__SB.1999.00071</w:t>
      </w:r>
    </w:p>
    <w:p>
      <w:r>
        <w:t>FR: ZH_VERWALTUNGSGERICHT SB.1999.00071 du 28 juin 2000</w:t>
      </w:r>
    </w:p>
    <w:p>
      <w:r>
        <w:t>IT: ZH_VERWALTUNGSGERICHT SB.1999.00071 del 28 giugno 2000</w:t>
      </w:r>
    </w:p>
    <w:p>
      <w:pPr>
        <w:pStyle w:val="Heading2"/>
      </w:pPr>
      <w:r>
        <w:t>Regeste</w:t>
      </w:r>
    </w:p>
    <w:p>
      <w:r>
        <w:t>Einschätzung 1995 und 1997 | Rechtliches Gehör. Reformatio in peius. Das Verwaltungsgericht darf auch nicht gerügte Rechtsverletzungen beheben (E. 1c). Der Anspruch auf rechtliches Gehör umfasst unter anderem das Recht, sich zu allen relevanten Aspekten vorgängig eines Entscheides zu äussern. Dies gilt auch für rechtliche Beurteilungen, wenn eine Behörde sich auf juristische Argumente zu stützen gedenkt, die dem Privaten nicht bekannt sind und mit deren Heranziehung er nicht rechnen musste (E. 2a). In casu liegt zwar nicht wie gerügt eine reformatio in peius vor, da das Total der vom Pflichtigen zu tragenden Einkommens- und Vermögenssteuerlast nicht erhöht worden ist (E. 2b-d). Da die Vorinstanz aber ihren Entscheid auf eine neue, erstmals von ihr vorgenommene rechtliche Würdigung abstützt, hat sie das rechtliche Gehör des Pflichtigen dennoch verletzt. Teilweise Gutheissung und Rückweisung an die Vorinstanz.</w:t>
      </w:r>
    </w:p>
    <w:p>
      <w:pPr>
        <w:pStyle w:val="Heading2"/>
      </w:pPr>
      <w:r>
        <w:t>Erwägungen</w:t>
      </w:r>
    </w:p>
    <w:p>
      <w:r>
        <w:rPr>
          <w:b/>
        </w:rPr>
        <w:t>E. 2</w:t>
      </w:r>
    </w:p>
    <w:p>
      <w:r>
        <w:t>a) Der in Art. 29 Abs. 2 der Bundesverfassung vom 18. April 1999 (BV) statuier­te Grundsatz des rechtlichen Gehörs umfasst unter anderem das Recht, sich zu allen rele­vanten Aspekten vorgängig eines Entscheides zu äussern (vgl. etwa BGE 126 I 15 E. 2 mit weiteren Hinweisen). Dies gilt auch für rechtliche Beurteilungen, wenn eine Behörde sich auf juristische Argumente zu stützen gedenkt, die dem Privaten nicht bekannt sind und mit deren Heranziehung er nicht rechnen musste (BGE 126 I 19 E. 2c/aa S. 22 mit weiteren Hinweisen; BGE 125 II 265 E. 4 d/cc S. 277 e contrario; Georg Müller, Kommentar zur Schweizerischen Bundesverfassung, Art. 4 N. 105). Ist der Anspruch auf rechtliches Gehör verletzt worden, so ist der angefochtene Ent­scheid ohne weiteres aufzuheben (BGE 125 I 113 E. 3; BGE 124 I 49 E. 3e), weshalb über diese Frage formeller Natur vorab zu entscheiden ist (BGE 126 I 15 E. 2). b) Der Pflichtige macht geltend, die Rekurskommission habe durch Änderung der Vermögenssteuereinschätzung zu seinen Ungunsten eine reformatio in peius vorgenom­men, was nur zulässig gewesen wäre, wenn er vorgängig Gelegenheit zur Stellungnahme gehabt hätte. Dies sei aber eben gerade nicht der Fall gewesen. Mit diesem Vorbringen macht der Pflichtige sinngemäss eine Verletzung des in Art. 29 Abs. 2 BV garantierten Anspruchs auf rechtliches Gehör geltend. Die Rekurskommission hält dem in ihrer Ver­nehmlassung entgegen, im Rekurs seien Einkommens- und Vermögenssteuern angefochten gewesen und die Rekurskommission habe das Recht von Amts wegen anzuwenden, wes­halb eine reformatio in peius nur dann vorliegen würde, wenn dem Pflichtigen durch den Rekursentscheid insgesamt eine höhere Einkommens- und Vermögenssteuerlast auferlegt worden wäre. Dies treffe im vorliegenden Fall aber eben gerade nicht zu, weshalb auch keine Verletzung des rechtlichen Gehörs erfolgt sei. c) Nach zürcherischer Ordnung ist die Rekurskommission ‑ wie Steuerkom­mis­sär und Einspracheinstanz ‑ ver­pflichtet, das materielle Recht ohne Rücksicht auf die Par­teianträge anzuwenden (Reimann/Zuppinger/Schärrer, Kom­men­tar zum Zürcher Steuer­gesetz, 3. Band, Bern 1969, § 92 N. 3 und § 93 N. 13). Will eine Rekursbehörde von sich aus ‑ d.h. ohne Antrag der Rekursgegnerschaft ‑ einen an­ge­fochte­nen Entscheid zuun­gunsten des Steuerpflichtigen abändern (sogenannte Ver­bö­serung, "reformatio in peius"), so hat sie diesem gemäss § 149 Abs. 2 StG vor der Beschluss­fas­sung Ge­legenheit zur Stellungnahme zu geben. Jede solche Änderung ist dem Steuer­pflich­tigen vor dem Ent­scheid schriftlich mitzuteilen, damit er sei­ne Parteirechte wahren kann. Ins­be­son­dere soll er neue, bis­her nicht vorgebrachte Gegengründe geltend ma­chen und neue Be­weis­an­trä­ge stellen können (vgl. noch zum alten Steuergesetz Reimann/Zup­pinger/Schärrer, § 77 N. 4 mit Ver­wei­sun­gen; ebenso Richner/Frei/Kaufmann, Kommentar zum harmonisier­ten Zürcher Steuergesetz, Zürich 1999, § 149 N. 22). d) Die Rekurskommission weist in ihrer Vernehmlassung zu Recht darauf hin, dass sie das Recht von Amtes wegen anzuwenden hat. Ebenfalls ist zutreffend, dass eine vor­gängige Anhörung nach der Rechtsprechung (zumindest) dann unterbleiben kann, wenn zwar einzelne Teile einer Steuer (etwa der Einkommens- oder Ertragsrechnung) heraufge­setzt, gleichzeitig aber in mindestens dem selben Umfang andere Teile herabgesetzt wer­den, so dass per Saldo der angefochtene Entscheid nicht verbösert wird (vgl. etwa VGr, 25. März 1998, SB.1997.00044). Diese Lösung erweist sich als sachgerecht, ist der Pflichtige doch in einem solchen Fall hinsichtlich ein und derselben Steuer (etwa der Einkommens­steuer) insgesamt nicht schlechter gestellt. Diese Korrekturen innerhalb derselben Steuer betreffende Rechtsprechung lässt sich aber auch auf Fälle wie den vorliegenden übertragen, bei denen es um zwei verschiedene Steuern geht, die auf einer einheitlichen Verfügung gründen (vgl. auch Richner/Frei/Kaufmann, § 149 N. 22, die festhalten, der Pflichtige sei nur dann anzuhören, wenn die Steuerfaktoren in ihrer Gesamtheit gegenüber dem ange­fochtenen Entscheid heraufgesetzt würden .). Da im vorliegenden Fall das Total der vom Pflichtigen zu tragenden Einkommens- und Vermögenssteuerlast nicht erhöht worden ist, liegt keine reformatio in peius vor. e) Die von der Rekurskommission zulasten des Pflichtigen vorgenommene Kor­rektur, wonach der dem Pflichtigen gegenüber der Erbengemeinschaft vereinbarungsge­mäss zustehende Rückforderungsanspruch steuerbares Mehrvermögen bilde, hält einer Be­trachtung im Licht von Art. 29 Abs. 2 BV dennoch nicht stand. Die Rekurskommission hat zwar zutreffend festgehalten, die von ihr erstmals vorgenommene rechtliche Würdigung sei "in den angefochtenen Verfügungen unberücksichtigt geblieben und im Rekursverfahren von keiner Seite zur Sprache gebracht worden" (angefochtener Entscheid S. 10). Dennoch hat sie es unterlassen, den Pflichtigen zu dieser massgeblichen Änderung des rechtlichen Standpunkts anzuhören und hat sie dergestalt dessen rechtliches Gehör verletzt (vgl. vorn E. 2a). Diese Anhörung wird die Rekurskommission im zweiten Rechtsgang nachzuholen haben. Die Beschwerde ist demgemäss teilweise gutzuheissen.</w:t>
      </w:r>
    </w:p>
    <w:p>
      <w:r>
        <w:rPr>
          <w:b/>
        </w:rPr>
        <w:t>E. 3</w:t>
      </w:r>
    </w:p>
    <w:p>
      <w:r>
        <w:t>... Demgemäss entscheidet der Einzelrichter: 1. Die Beschwerde wird teilweise gutgeheissen. Die Sache wird zur Anhörung, zur allfäl­ligen weiteren Untersuchung und zum Neuentscheid im Sinn der Erwägungen an die Steuerrekurskommission II zurück­gewiesen. 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