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RG.2025.00010 vom 4. Juni 2025</w:t>
      </w:r>
    </w:p>
    <w:p>
      <w:r>
        <w:t>ZH Verwaltungsgericht, 2025-06-04, DE</w:t>
      </w:r>
    </w:p>
    <w:p>
      <w:r>
        <w:rPr>
          <w:b/>
        </w:rPr>
        <w:t xml:space="preserve">Quelle: </w:t>
      </w:r>
      <w:r>
        <w:t>https://mcp.opencaselaw.ch/entscheid/zh_verwaltungsgericht__RG.2025.00010</w:t>
      </w:r>
    </w:p>
    <w:p>
      <w:r>
        <w:t>FR: ZH_VERWALTUNGSGERICHT RG.2025.00010 du 4 juin 2025</w:t>
      </w:r>
    </w:p>
    <w:p>
      <w:r>
        <w:t>IT: ZH_VERWALTUNGSGERICHT RG.2025.00010 del 4 giugno 2025</w:t>
      </w:r>
    </w:p>
    <w:p>
      <w:pPr>
        <w:pStyle w:val="Heading2"/>
      </w:pPr>
      <w:r>
        <w:t>Regeste</w:t>
      </w:r>
    </w:p>
    <w:p>
      <w:r>
        <w:t>Massnahmen nach Gewaltschutzgesetz (Revision des Urteils VB.2025.00291 vom 4. Juni 2025) | Nichteintreten wegen fehlender Revisionsgründe (E. 2).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sind die Kosten des Verfahrens der Gesuchstellerin aufzuerlegen (§ 65a Abs. 2 in Verbindung mit § 13 Abs. 2 VRG). Die Gesuchstellerin beantragte keine Parteientschädigung und eine solche stünde ihr mangels Obsiegens auch nicht zu (§ 17 Abs. 2 VRG). Ihr Gesuch um unentgeltliche Prozessführung ist zufolge der offensichtlichen Aussichtslosigkeit ihres erneuten Revisionsbegehrens abzuweisen (§ 16 Abs.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