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RG.2020.00005 vom 18. November 2020</w:t>
      </w:r>
    </w:p>
    <w:p>
      <w:r>
        <w:t>ZH Verwaltungsgericht, 2020-11-18, DE</w:t>
      </w:r>
    </w:p>
    <w:p>
      <w:r>
        <w:rPr>
          <w:b/>
        </w:rPr>
        <w:t xml:space="preserve">Quelle: </w:t>
      </w:r>
      <w:r>
        <w:t>https://mcp.opencaselaw.ch/entscheid/zh_verwaltungsgericht__RG.2020.00005</w:t>
      </w:r>
    </w:p>
    <w:p>
      <w:r>
        <w:t>FR: ZH_VERWALTUNGSGERICHT RG.2020.00005 du 18 novembre 2020</w:t>
      </w:r>
    </w:p>
    <w:p>
      <w:r>
        <w:t>IT: ZH_VERWALTUNGSGERICHT RG.2020.00005 del 18 novembre 2020</w:t>
      </w:r>
    </w:p>
    <w:p>
      <w:pPr>
        <w:pStyle w:val="Heading2"/>
      </w:pPr>
      <w:r>
        <w:t>Regeste</w:t>
      </w:r>
    </w:p>
    <w:p>
      <w:r>
        <w:t>Aufenthaltsbewilligung (Revisionsgesuch VB.2020.00499) | [Revision] Die Gesuchstellerin rügt einen Rechtsanwendungsmangel, wogegen die Revision nach §§ 86a ff. VRG nicht offensteht (E. 2.2). Nichteintreten.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Gerichtskosten der Gesuchstellerin aufzuerlegen.</w:t>
      </w:r>
    </w:p>
    <w:p>
      <w:r>
        <w:rPr>
          <w:b/>
        </w:rPr>
        <w:t>E. 5</w:t>
      </w:r>
    </w:p>
    <w:p>
      <w:r>
        <w:t>Zur Rechtsmittelbelehrung des nachstehenden Verfügungsdispositivs gilt es Folgendes zu erläutern: Entscheide über ein Revisionsgesuch unterliegen grundsätzlich den gleichen Rechtsmitteln wie die Anordnung, welche Anlass zum Revisionsgesuch gegeben hat (Bertschi, § 86d N. 6; VGr, 6. Oktober 2016, RG.2016.00001, E. 4 Abs. 2). Das Bundesgericht hat die Zulässigkeit der Beschwerde in öffentlich-rechtlichen Angelegenheiten mangels eines Bewilligungsanspruchs der Beschwerdeführerin bzw. gestützt auf Art. 83 lit. c Ziff. 2 des Bundesgerichtsgesetzes vom 17. Juni 2005 (BGG, SR 173.110) bereits verneint (BGr, 18. November 2020, 2C_939/2020, E. 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