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RG.2020.00001 vom 10. Juni 2015</w:t>
      </w:r>
    </w:p>
    <w:p>
      <w:r>
        <w:t>ZH Verwaltungsgericht, 2015-06-10, DE</w:t>
      </w:r>
    </w:p>
    <w:p>
      <w:r>
        <w:rPr>
          <w:b/>
        </w:rPr>
        <w:t xml:space="preserve">Quelle: </w:t>
      </w:r>
      <w:r>
        <w:t>https://mcp.opencaselaw.ch/entscheid/zh_verwaltungsgericht__RG.2020.00001</w:t>
      </w:r>
    </w:p>
    <w:p>
      <w:r>
        <w:t>FR: ZH_VERWALTUNGSGERICHT RG.2020.00001 du 10 juin 2015</w:t>
      </w:r>
    </w:p>
    <w:p>
      <w:r>
        <w:t>IT: ZH_VERWALTUNGSGERICHT RG.2020.00001 del 10 giugno 2015</w:t>
      </w:r>
    </w:p>
    <w:p>
      <w:pPr>
        <w:pStyle w:val="Heading2"/>
      </w:pPr>
      <w:r>
        <w:t>Regeste</w:t>
      </w:r>
    </w:p>
    <w:p>
      <w:r>
        <w:t>Aufenthaltsbewilligung (Verwarnung) - Revisionsgesuch betreffend das Geschäft VB.2019.00202 | (Funktionale) Zuständigkeit des Verwaltungsgerichts bzw. des Einzelrichters für die Beurteilung eines Revisionsgesuchs, nachdem das Bundesgericht im ersten Rechtsgang auf eine Beschwerde des Gesuchstellers nicht eingetreten ist (E. 1 f.). Der Gesuchsteller macht keine neuen Tatsachen im Sinn von § 86a lit. b VRG geltend, sondern wiederholt bloss, was schon im ordentlichen Rechtsmittelverfahren vorgebracht worden war, bzw. rügt erneut eine falsche Rechtsanwendung (E. 3). Nichteintreten.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Ausgangsgemäss sind die (reduzierten) Gerichtskosten dem Gesuchsteller aufzuerlegen (§ 65a Abs. 2 in Verbindung mit § 13 Abs. 2 Satz 1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