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RG.2019.00003 vom 19. Mai 2011</w:t>
      </w:r>
    </w:p>
    <w:p>
      <w:r>
        <w:t>ZH Verwaltungsgericht, 2011-05-19, DE</w:t>
      </w:r>
    </w:p>
    <w:p>
      <w:r>
        <w:rPr>
          <w:b/>
        </w:rPr>
        <w:t xml:space="preserve">Quelle: </w:t>
      </w:r>
      <w:r>
        <w:t>https://mcp.opencaselaw.ch/entscheid/zh_verwaltungsgericht__RG.2019.00003</w:t>
      </w:r>
    </w:p>
    <w:p>
      <w:r>
        <w:t>FR: ZH_VERWALTUNGSGERICHT RG.2019.00003 du 19 mai 2011</w:t>
      </w:r>
    </w:p>
    <w:p>
      <w:r>
        <w:t>IT: ZH_VERWALTUNGSGERICHT RG.2019.00003 del 19 maggio 2011</w:t>
      </w:r>
    </w:p>
    <w:p>
      <w:pPr>
        <w:pStyle w:val="Heading2"/>
      </w:pPr>
      <w:r>
        <w:t>Regeste</w:t>
      </w:r>
    </w:p>
    <w:p>
      <w:r>
        <w:t>Nichtpromotion (Revision des Verwaltungsgerichtsurteils VB.2015.00307 vom 15. Juli 2015) | Der Gesuchsteller lehnt den Einzelrichter ab; darüber darf dieser selbst befinden, weil das Ausstandsbegehren unzulässig erscheint. Wie hier unstatthaft und deshalb ohne eigenen Zwischenentscheid nicht an die Hand zu nehmen ist nämlich etwa ein offenkundig rechtsmissbräuchliches bzw. querulatorisches oder von vornherein untauglich begründetes Ansinnen (E. 2). Dem Gesuchsteller gebricht es sodann an der Berechtigung, in eigenem Namen ein Begehren um Revision des Verwaltungsgerichtsurteils VB.2015.00307 einzureichen, wo er lediglich gesetzlicher Vertreter seiner Tochter war; vielmehr hätte er lediglich mit Vollmacht seiner mittlerweile erwachsenen Tochter für diese handeln können (E. 3). Nicht dargetan werden ferner das keineswegs selbstverständliche und ziemlich sicher mangelnde Einhalten der Revisionsfrist sowie das Erfordernis, dass sich die behauptete neue Tatsache nicht schon früher ins Treffen führen liess (E. 3.2). Nichtanhandnahme des Ausstandsgesuchs. Nichteintreten.</w:t>
      </w:r>
    </w:p>
    <w:p>
      <w:pPr>
        <w:pStyle w:val="Heading2"/>
      </w:pPr>
      <w:r>
        <w:t>Erwägungen</w:t>
      </w:r>
    </w:p>
    <w:p>
      <w:r>
        <w:rPr>
          <w:b/>
        </w:rPr>
        <w:t>E. 4</w:t>
      </w:r>
    </w:p>
    <w:p>
      <w:r>
        <w:t>Die Gerichtskosten sind dem als unterliegend zu betrachtenden Gesuchsteller zu belasten (vgl. § 65a Abs. 2 in Verbindung mit § 13 Abs. 2 Satz 1 VRG; Bertschi, § 86c N. 7 in Verbindung mit Plüss, § 13 N. 65; VGr, 15. Juni 2018, RG.2018.00004, E. 4 mit Hinweisen).</w:t>
      </w:r>
    </w:p>
    <w:p>
      <w:r>
        <w:rPr>
          <w:b/>
        </w:rPr>
        <w:t>E. 5</w:t>
      </w:r>
    </w:p>
    <w:p>
      <w:r>
        <w:t>Zur Rechtsmittelbelehrung in Ziff. 5 des nachstehenden Verfügungsdispositivs gilt es Folgendes zu erläutern: Entscheide über ein Revisionsgesuch unterliegen den gleichen Rechtsmitteln wie die ursprüngliche Anordnung, welche Anlass zum Revisionsgesuch gegeben hat (Bertschi, § 86d N. 6; VGr, 6. Oktober 2016, RG.2016.00001, E. 4 Abs. 2). Insofern sagte das Urteil vom 15. Juli 2015 (E. 5): "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[nunmehr 2018], Art. 83 BGG N. 299). Ansonsten kann die subsidiäre Verfassungsbeschwerde gemäss Art. 113 ff. BGG ergriffen werden. Werden beide Rechtsmittel erhoben,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