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RG.2018.00004 vom 6. Oktober 2016</w:t>
      </w:r>
    </w:p>
    <w:p>
      <w:r>
        <w:t>ZH Verwaltungsgericht, 2016-10-06, DE</w:t>
      </w:r>
    </w:p>
    <w:p>
      <w:r>
        <w:rPr>
          <w:b/>
        </w:rPr>
        <w:t xml:space="preserve">Quelle: </w:t>
      </w:r>
      <w:r>
        <w:t>https://mcp.opencaselaw.ch/entscheid/zh_verwaltungsgericht__RG.2018.00004</w:t>
      </w:r>
    </w:p>
    <w:p>
      <w:r>
        <w:t>FR: ZH_VERWALTUNGSGERICHT RG.2018.00004 du 6 octobre 2016</w:t>
      </w:r>
    </w:p>
    <w:p>
      <w:r>
        <w:t>IT: ZH_VERWALTUNGSGERICHT RG.2018.00004 del 6 ottobre 2016</w:t>
      </w:r>
    </w:p>
    <w:p>
      <w:pPr>
        <w:pStyle w:val="Heading2"/>
      </w:pPr>
      <w:r>
        <w:t>Regeste</w:t>
      </w:r>
    </w:p>
    <w:p>
      <w:r>
        <w:t>Aufenthaltsbewilligung (Revision des Verwaltungsgerichtsurteils VB.2017.00827 vom 17. April 2018) | [Das Verwaltungsgericht hatte dem Bf mit rechtskräftigem Entscheid vom 17. April 2018 eine Ausreisefrist bis 31. Mai 2018 angesetzt; am 11. Juni 2018 liess der Bf abermals ans Verwaltungsgericht gelangen und unter Hinweis auf anstehende Operationen eine halbjährige Erstreckung dieser Frist verlangen.] Es ist weder dargetan noch ersichtlich, ob der geltend gemachte Revisionsgrund bereits früher hätte vorgebracht werden können (E. 3.2). Nichteintreten und Weiterleitung des Gesuchs ans Migrationsamt zur allfälligen Anpassung der Ausreisefrist.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Die Gerichtskosten sind dem als unterliegend zu betrachtenden Gesuchsteller zu belasten (vgl. § 65a Abs. 2 in Verbindung mit § 13 Abs. 2 Satz 1 VRG; Bertschi, § 86c N. 7 in Verbindung mit Plüss, § 13 N. 65; VGr, 22. Mai 2014, RG.2014.00006, E. 3 – 10. Juni 2015, RG.2015.00001, E. 4 – 6. Oktober 2016, RG.2016.00001, E. 3).</w:t>
      </w:r>
    </w:p>
    <w:p>
      <w:r>
        <w:rPr>
          <w:b/>
        </w:rPr>
        <w:t>E. 5</w:t>
      </w:r>
    </w:p>
    <w:p>
      <w:r>
        <w:t>Zur Rechtsmittelbelehrung in Ziff. 4 des nachstehenden Verfügungsdispositivs ist Folgendes zu erläutern: Weil es hier lediglich noch um eine Wegweisung(sfrist) geht, steht als Weiterzugsmöglichkeit die ordentliche Beschwerde beim Bundesgericht nicht zu Gebot (siehe Art. 83 lit. c Ziff. 4 des Bundesgerichtsgesetzes vom 17. Juni 2005 [BGG, SR. 173.110]). Insofern die gegenwärtige Verfügung die funktionelle Zuständigkeit des Verwaltungsgerichts verneint, dürfte sie heute ganz allgemein der Anfechtung beim Bundesgericht unterliegen (vgl. Bertschi, § 19a N. 35 ff.; Hans-Jakob Mosimann, Beschwerde in öffentlichrechtlichen Angelegenheiten, in: Thomas Geiser et al. [Hrsg.], Prozessieren vor Bundesgericht, 4. A., Basel 2014, S. 199 ff., Rz. 4.20; Karl Spühler/Heinz Aemisegger in: Karl Spühler et al., Bundesgerichtsgesetz [BGG], 2. A., Zürich/St. Gallen 2013, Art. 92 N. 4; BGr, 18. März 2014, 9C_582/2013, E. 1.1 [in BGE 140 V 58 nicht publizierte Erwägung]); dafür verlangt Art. 113 BGG immerhin einen kantonal letztinstanzlichen Entscheid; wie anzumerken bleibt, wurde solche Letztinstanzlichkeit unter früherem Recht einem vergleichbaren Entscheid noch abgesprochen (BGr, 8. März 2006, 1A.39/2006, E. 1; VGr, 6. Oktober 2016, RG.2016.00001, E. 4 Abs. 3).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