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RG.2012.00006 vom 9. Mai 2012</w:t>
      </w:r>
    </w:p>
    <w:p>
      <w:r>
        <w:t>ZH Verwaltungsgericht, 2012-05-09, DE</w:t>
      </w:r>
    </w:p>
    <w:p>
      <w:r>
        <w:rPr>
          <w:b/>
        </w:rPr>
        <w:t xml:space="preserve">Quelle: </w:t>
      </w:r>
      <w:r>
        <w:t>https://mcp.opencaselaw.ch/entscheid/zh_verwaltungsgericht__RG.2012.00006</w:t>
      </w:r>
    </w:p>
    <w:p>
      <w:r>
        <w:t>FR: ZH_VERWALTUNGSGERICHT RG.2012.00006 du 9 mai 2012</w:t>
      </w:r>
    </w:p>
    <w:p>
      <w:r>
        <w:t>IT: ZH_VERWALTUNGSGERICHT RG.2012.00006 del 9 maggio 2012</w:t>
      </w:r>
    </w:p>
    <w:p>
      <w:pPr>
        <w:pStyle w:val="Heading2"/>
      </w:pPr>
      <w:r>
        <w:t>Regeste</w:t>
      </w:r>
    </w:p>
    <w:p>
      <w:r>
        <w:t>Aufenthaltsbewilligung (Revision des Urteils VB.2012.00163 vom 09. Mai 2012) | Revisionsgesuch / Verlängerung der Ausreisefrist Auf eigene Rechtsmittelentscheide zurückzukommen darf das Verwaltungsgericht - unter Vorbehalt der Nichtigkeit, der Berichtigung oder Erläuterung - nur im Rahmen einer Revision (E. 1 Abs. 1). Zuständigkeit des Einzelrichters wegen offenkundiger Unzulässigkeit (E. 1 Abs. 2). Funktionelle Revisionskompetenz des Verwaltungsgerichts (E. 3.1). Die Verfahrensbeteiligten können lediglich die Revision formell rechtskräftiger, das heisst nicht mehr mit einem ordentlichen Rechtsmittel anfechtbarer Anordnungen anbegehren, und auch das bloss, wenn sie etwa neue, das heisst bei Fällung des revisionsbetroffenen Entscheids schon bestehende, erhebliche Tatsachen oder Beweismittel dafür auffinden, die sie im früheren Verfahren nicht beizubringen vermochten (E. 3.1.1). Die dreissigtägige Frist für eine offenbar ausgebliebene Beschwerde gegen das hier betroffene Urteil lief noch, als das vorliegende Gesuch beim Verwaltungsgericht einging. Trotzdem erscheint unklar, ob jenes Urteil damals nicht schon rechtskräftig gewesen sei, herrscht doch über die "Ordentlichkeit" der bundesgerichtlichen Rechtsmittel Ungewissheit, oder ob es ansonsten genüge, dass es jedenfalls unterdessen in Rechtskraft erwachsen ist; immerhin lässt sich kein Vorbringen so genannter echter Noven beim Bundesgericht fordern, das heisst nach dem dort angefochtenen Entscheid eingetretener und deshalb für eine Revision ohnehin unerheblicher Tatsachen, weil dieses solche nicht beachten würde (E. 3.1.2). Indem eine Wegweisungsanordnung als Dauerverfügung erscheint und soweit es sich gegenwärtig um echte neue Tatsachen samt Beweismitteln dafür dreht, kommt für eine Verlängerung der Ausreisefrist nur eine so genannte Anpassung in Frage; das fällt in die Kompetenz der erstinstanzlich anordnenden Behörde (E. 3.2). Nichteintreten und Weiterleiten an die Gesuchsgegnerin</w:t>
      </w:r>
    </w:p>
    <w:p>
      <w:pPr>
        <w:pStyle w:val="Heading2"/>
      </w:pPr>
      <w:r>
        <w:t>Erwägungen</w:t>
      </w:r>
    </w:p>
    <w:p>
      <w:r>
        <w:rPr>
          <w:b/>
        </w:rPr>
        <w:t>E. 4</w:t>
      </w:r>
    </w:p>
    <w:p>
      <w:r>
        <w:t>Ausgangsgemäss sind die Gerichtskosten dem Gesuchsteller aufzuerlegen (§ 65a Abs. 1 in Verbindung mit § 13 Abs. 2 Satz 1 VRG; vgl. Kölz/Bosshart/Röhl, § 13 N. 15, § 86c N. 7).</w:t>
      </w:r>
    </w:p>
    <w:p>
      <w:r>
        <w:rPr>
          <w:b/>
        </w:rPr>
        <w:t>E. 5</w:t>
      </w:r>
    </w:p>
    <w:p>
      <w:r>
        <w:t>Zur Rechtsmittelbelehrung des nachstehenden Verfügungsdispositivs ist Folgendes zu erläutern:</w:t>
      </w:r>
    </w:p>
    <w:p>
      <w:r>
        <w:rPr>
          <w:b/>
        </w:rPr>
        <w:t>E. 5.1</w:t>
      </w:r>
    </w:p>
    <w:p>
      <w:r>
        <w:t>Weil es hier bloss noch um Wegweisung bzw. die damit verbundene Ausreisefrist geht, schliesst Art. 83 lit. c Ziff. 4 BGG die Beschwerde in öffentlichrechtlichen Angelegenheiten aus (vgl. Daniela Thurnherr in: Martina Caroni/Thomas Gächter/Daniela Thurnherr [Hrsg.], Bundesgesetz über die Ausländerinnen und Ausländer [AuG], Bern 2010, Art. 112 N. 62; BGr, 3. Mai 2012, 2C_911/2011, E. 1.1 f.). Zudem hat die einzig statthafte Verfassungsbeschwerde vorliegend eine besonders geringe Reichweite (Peter Nideröst, Sans-Papiers in der Schweiz, in: Peter Uebersax et al. [Hrsg.], Ausländerrecht, 2. A., Basel 2009, S. 373 ff., 383; Thurnherr, Art. 112 N. 72–75; Thomas Häberli, Basler Kommentar, 2011, Art. 83 BGG N. 61). Ansonsten gibt es, was den Revision spunkt anlangt, freilich keine weiteren Einschränkungen.</w:t>
      </w:r>
    </w:p>
    <w:p>
      <w:r>
        <w:rPr>
          <w:b/>
        </w:rPr>
        <w:t>E. 5.2</w:t>
      </w:r>
    </w:p>
    <w:p>
      <w:r>
        <w:t>Soweit hier – im Anpassung spunkt – die funktionelle Zuständigkeit des Verwaltungsgerichts verneint wird, soll es sich um den Normalfall eines Endentscheids im Sinn des Art. 117 in Verbindung mit Art. 90 BGG handeln (so Karl Spühler/Annette Dolge/Dominik Vock, Kurzkommentar zum Bundesgerichtsgesetz, Zürich/St. Gallen 2006, Art. 92 N. 4; Corboz, Art. 92 N. 10 in Verbindung mit N. 13; Hans-Jakob Mosimann, Beschwerde in öffentlich-rechtlichen Angelegenheiten, in: Thomas Geiser et al. [Hrsg.], Prozessieren vor Bundesgericht, 3. A., Basel 2011, S. 183 ff., Rz. 4.20; BGr, 19. April 2012, 8C_846/2011, E. 2.2.1; wohl ebenso Felix Uhlmann, Basler Kommentar, 2011, Art. 92 BGG N. 6 in Verbindung mit N. 8; Thomas Geiser/Felix Uhlmann, Grundlagen, in: Geiser et al., S. 1 ff., Rz. 1.121 in Verbindung mit Rz. 1.134). Vorab erhebt sich jedoch die Frage, ob dann überhaupt ein letztinstanzlicher kantonaler Entscheid gemäss Art. 113 BGG vorliege; denn lediglich bei bejahender Antwort liesse sich das Bundesgericht anrufen (unter früherem Recht zu einem ähnlichen Problem ablehnend etwa BGr, 8. März 2006, 1A.39/2006). Abgesehen hiervon ist indes nicht ganz klar, ob diese Verfügung – jedenfalls, weil sie eine Weiterleitung vornimmt – einen Endentscheid bedeute (dazu etwa Nicolas von Werdt in: Hansjörg Seiler/Nicolas von Werdt/Andreas Güngerich, Bundesgerichtsgesetz [BGG], Bern 2007, Art. 90 N. 2 ff.; Uhlmann, Art. 92 N. 8a; offengelassen in BGE 136 I 80 E. 1.2; BGr 19. April 2012, 8C_846/2011, E. 2.2.1). Verneinendenfalls erscheint wenigstens sicher, dass ein Entscheid über die funktionelle Zuständigkeit als einer im Sinn des Art. 117 in Verbindung mit Art. 92 BGG gelte und sich deshalb zwar im Gegensatz zu einem solchen nach Art. 93 BGG ohne zusätzliche Vor­aussetzungen sofort, später aber nicht mehr anfechten lasse (vgl. Spühler/Dolge/Vock, a.a.O.; Corboz, Art. 92 N. 10 in Verbindung mit N. 19 f.; Geiser/Uhlmann, Rz. 1.132; Mosimann, Rz. 4.22; BGE 136 I 80 E. 1.2; BGr 19. April 2012, 8C_846/2011, E. 2.2.1; ferner von Werdt, Art. 92 N. 7 f. und 19; Donzallaz, N. 3301).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