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RG.2008.00003 vom 12. Februar 2008</w:t>
      </w:r>
    </w:p>
    <w:p>
      <w:r>
        <w:t>ZH Verwaltungsgericht, 2008-02-12, DE</w:t>
      </w:r>
    </w:p>
    <w:p>
      <w:r>
        <w:rPr>
          <w:b/>
        </w:rPr>
        <w:t xml:space="preserve">Quelle: </w:t>
      </w:r>
      <w:r>
        <w:t>https://mcp.opencaselaw.ch/entscheid/zh_verwaltungsgericht__RG.2008.00003</w:t>
      </w:r>
    </w:p>
    <w:p>
      <w:r>
        <w:t>FR: ZH_VERWALTUNGSGERICHT RG.2008.00003 du 12 février 2008</w:t>
      </w:r>
    </w:p>
    <w:p>
      <w:r>
        <w:t>IT: ZH_VERWALTUNGSGERICHT RG.2008.00003 del 12 febbraio 2008</w:t>
      </w:r>
    </w:p>
    <w:p>
      <w:pPr>
        <w:pStyle w:val="Heading2"/>
      </w:pPr>
      <w:r>
        <w:t>Regeste</w:t>
      </w:r>
    </w:p>
    <w:p>
      <w:r>
        <w:t>Aufenthaltsbewilligung | Aufenthaltsbewilligung: Rechtsmissbräuchliche Berufung auf eine nur noch formell bestehende Ehe Kammerzuständigkeit (E. 1). Das Verwaltungsgericht war und ist sachlich zuständig, sofern es sich um Streitigkeiten betreffend Rechtsansprüche auf Aufenthaltsbewilligungen handelt. Auf Beschwerden gegen das Verweigern von Bewilligungen in Ermessensbetätigung hat es grundsätzlich ab 1. Januar 2009 einzutreten (E. 2.1). Die Frage, ob es insofern auf Beschwerden, die - wie hier - noch im Jahr 2008 erhoben wurden, obwohl die Beschwerdefrist erst 2009 ablief, einzutreten hätte, wäre wohl zu verneinen, kann vorliegend aber offen bleiben, da die Beschwerde ohnehin abgewiesen werden muss (E. 2.2). Anwendbares Recht (E. 2.3). Ein Anwesenheitsanspruch gestützt auf Art. 8 Abs. 1 EMRK besteht nicht (E. 2.4). Da sich der Beschwerdeführer in rechtsmissbräuchlicher Weise auf seine noch bestehende Ehe beruft, kann sich weder sein grundsätzlicher Aufenthaltsanspruch gestützt auf Art. 7 Abs. 1 ANAG noch derjenige gestützt auf das FZA verwirklichen (E. 2.5, E. 3.1). Ebensowenig ist der vorinstanzliche Entscheid unrechtmässig, soweit er die Bewilligungsverweigerung im freien Ermessen betrifft (E. 3.2). Kosten- und Entschädigungsfolgen (E. 4). Rechtsmittel (E. 5). Abweisung.</w:t>
      </w:r>
    </w:p>
    <w:p>
      <w:pPr>
        <w:pStyle w:val="Heading2"/>
      </w:pPr>
      <w:r>
        <w:t>Erwägungen</w:t>
      </w:r>
    </w:p>
    <w:p>
      <w:r>
        <w:rPr>
          <w:b/>
        </w:rPr>
        <w:t>E. 4</w:t>
      </w:r>
    </w:p>
    <w:p>
      <w:r>
        <w:t>Ausgangsgemäss wird der Beschwerdeführer kostenpflichtig und muss ihm eine Parteientschädigung versagt bleiben (§ 70 in Verbindung mit § 13 Abs. 2 Satz 1 sowie § 17 Abs. 2 VRG).</w:t>
      </w:r>
    </w:p>
    <w:p>
      <w:r>
        <w:rPr>
          <w:b/>
        </w:rPr>
        <w:t>E. 5</w:t>
      </w:r>
    </w:p>
    <w:p>
      <w:r>
        <w:t>Zur Rechtsmittelbelehrung des nachstehenden Entscheid-Dispositivs ist Folgendes zu erläutern: Soweit ein Anwesenheitsanspruch des Beschwerdeführers geltend gemacht werden will (dazu oben 2.1 und 2.4 f.), lässt sich Beschwerde in öffentlich-rechtlichen Angelegenheiten nach Art. 82 ff. BGG erheben (vgl. BGr, 18. Juni 2007, 2D_3/2007 bzw. 2C_126/2007, E. 2.2, www.bger.ch; ferner bezüglich der Rüge, der vorangegangene kantonale Sachentscheid habe Verfahrensgarantien missachtet, BGr, 12. Februar 2008, 2D_23/2008, E. 2.4.2, mit Zitat, www.bger.ch). Ansonsten bleibt lediglich die subsidiäre Verfassungsbeschwerde gemäss Art. 113 ff. BGG offen (siehe zu ihrer hier besonders beschränkten Reichweite Thomas Häberli, Basler Kommentar, 2008, Art. 83 BGG N. 61). Das Ergreifen beider Rechtsmittel hätte übrigens in der gleichen Rechtsschrift zu geschehen (Art. 119 Abs. 1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