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RG.2003.00006 vom 23. Oktober 2002</w:t>
      </w:r>
    </w:p>
    <w:p>
      <w:r>
        <w:t>ZH Verwaltungsgericht, 2002-10-23, DE</w:t>
      </w:r>
    </w:p>
    <w:p>
      <w:r>
        <w:rPr>
          <w:b/>
        </w:rPr>
        <w:t xml:space="preserve">Quelle: </w:t>
      </w:r>
      <w:r>
        <w:t>https://mcp.opencaselaw.ch/entscheid/zh_verwaltungsgericht__RG.2003.00006</w:t>
      </w:r>
    </w:p>
    <w:p>
      <w:r>
        <w:t>FR: ZH_VERWALTUNGSGERICHT RG.2003.00006 du 23 octobre 2002</w:t>
      </w:r>
    </w:p>
    <w:p>
      <w:r>
        <w:t>IT: ZH_VERWALTUNGSGERICHT RG.2003.00006 del 23 ottobre 2002</w:t>
      </w:r>
    </w:p>
    <w:p>
      <w:pPr>
        <w:pStyle w:val="Heading2"/>
      </w:pPr>
      <w:r>
        <w:t>Regeste</w:t>
      </w:r>
    </w:p>
    <w:p>
      <w:r>
        <w:t>Gerichtskosten | Der Gesuchsteller wehrt sich mit "Wiedererwägungsgesuch/Beschwerde" gegen die Berechnung des Streitwerts im Entscheid des Verwaltungsgerichts vom 11. Juni 2003 (PB.2003.00011, www.vgrzh.ch/rechtsprechung), die zur Überschreitung der Grenze von Fr. 20'000.- und damit zur Kostenpflichtigkeit des personalrechtlichen Verfahrens geführt hat (§ 80b VRG). Obwohl der gegenwärtige Streitwert unter Fr. 20'000.- liegt, ist die Kammer, welche die fragliche Nebenfolgenregelung getroffen hat, zum Entscheid berufen (E. 1). Zwar kennt § 206 in Verbindung mit §§ 108 ff. GVG eine eigene Kostenbeschwerde in Zivil- und Strafsachen, doch sind diese Bestimmungen in verwaltungsgerichtlichen Verfahren nicht anwendbar. Der Kostenentscheid ist kein Akt der Justizverwaltung, sondern in jeder Hinsicht ein solcher der Rechtsprechung, der sich nur an das Bundesgericht weiter ziehen lässt. Eine Weiterleitung der Eingabe an die Verwaltungskommission zur Behandlung als Aufsichtsbeschwerde fällt deshalb ausser Betracht (E. 2). Die Eingabe wird zu Recht nicht als Revisions- oder als Berichtigungsbegehren bezeichnet, da es sowohl an einem Revisionsgrund wie auch an einem der Berichtigung zugänglichen Versehen des Gerichts fehlt (E. 3).</w:t>
      </w:r>
    </w:p>
    <w:p>
      <w:pPr>
        <w:pStyle w:val="Heading2"/>
      </w:pPr>
      <w:r>
        <w:t>Erwägungen</w:t>
      </w:r>
    </w:p>
    <w:p>
      <w:r>
        <w:rPr>
          <w:b/>
        </w:rPr>
        <w:t>E. 4</w:t>
      </w:r>
    </w:p>
    <w:p>
      <w:r>
        <w:t>Beim jetzt Fr. 20'000.- in der Tat nicht erreichenden Streitwert (oben 1) geniesst der an sich unterliegende Gesuchsteller nunmehr Kostenfreiheit (§ 80b VRG). Dennoch pflegt die 4. Abteilung alsdann eine Gerichtsgebühr festzusetzen, was übrigens der gegenwär­tige Antrag übersieht (vgl. vorn II Abs. 1). Unter diesen Umständen muss dem Gesuchsteller eine Parteientschädigung versagt bleiben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