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PB.2010.00008 vom 20. Dezember 2006</w:t>
      </w:r>
    </w:p>
    <w:p>
      <w:r>
        <w:t>ZH Verwaltungsgericht, 2006-12-20, DE</w:t>
      </w:r>
    </w:p>
    <w:p>
      <w:r>
        <w:rPr>
          <w:b/>
        </w:rPr>
        <w:t xml:space="preserve">Quelle: </w:t>
      </w:r>
      <w:r>
        <w:t>https://mcp.opencaselaw.ch/entscheid/zh_verwaltungsgericht__PB.2010.00008</w:t>
      </w:r>
    </w:p>
    <w:p>
      <w:r>
        <w:t>FR: ZH_VERWALTUNGSGERICHT PB.2010.00008 du 20 décembre 2006</w:t>
      </w:r>
    </w:p>
    <w:p>
      <w:r>
        <w:t>IT: ZH_VERWALTUNGSGERICHT PB.2010.00008 del 20 dicembre 2006</w:t>
      </w:r>
    </w:p>
    <w:p>
      <w:pPr>
        <w:pStyle w:val="Heading2"/>
      </w:pPr>
      <w:r>
        <w:t>Regeste</w:t>
      </w:r>
    </w:p>
    <w:p>
      <w:r>
        <w:t>Lohnnachzahlung / Verjährung | Unterbrechung der Verjährung individueller Lohnansprüche durch Verbandsklagen gestützt auf das Gleichstellungsgesetz Lohnnachforderungen verjähren in analoger Anwendung von Art. 128 Ziff. 3 OR nach fünf Jahren (E. 3.1). Zur Unterbrechung der Verjährung muss neben der laufenden Verbandsklage nicht zwingend individuell geklagt werden. Es ist schon ausreichend, ein Betreibungsbegehren zu stellen. Damit erreicht das Verbandsklagerecht auch ohne verjährungsunterbrechende Wirkung seinen Zweck, die Betroffenen von der Führung eines aufwendigen Verfahrens mit den damit verbundenen finanziellen, beruflichen und persönlichen Belastungen und Risiken zu befreien, und zwingt sie nicht, sich übermässig zu exponieren (E. 3.2). Eine analoge Anwendung von Art. 15 Abs. 2 des Bundesgesetzes über die Schwarzarbeit ist nicht angezeigt (E. 3.3). Eine Feststellungsklage vermag die Verjährung zu unterbrechen, wenn sie vom Gläubiger oder von einem bevollmächtigten Vertreter, nicht aber von einem beliebigen Dritten erhoben wird. Daher vermag die auf Feststellung beschränkte Verbandsklage nach Gleichstellungsgesetz die Verjährung von individuellen Leistungsansprüchen nicht zu unterbrechen (E. 3.4). Abweisung</w:t>
      </w:r>
    </w:p>
    <w:p>
      <w:pPr>
        <w:pStyle w:val="Heading2"/>
      </w:pPr>
      <w:r>
        <w:t>Erwägungen</w:t>
      </w:r>
    </w:p>
    <w:p>
      <w:r>
        <w:rPr>
          <w:b/>
        </w:rPr>
        <w:t>E. 4</w:t>
      </w:r>
    </w:p>
    <w:p>
      <w:r>
        <w:t>Für das Beschwerdeverfahren sind gemäss Art. 13 Abs. 5 GlG keine Kosten zu erheben. Da die Beschwerdeführerin unterliegt und ohnehin keine Parteientschädigung verlangt, ist ihr keine solche zuzusprechen (§ 17 Abs. 2 VRG).</w:t>
      </w:r>
    </w:p>
    <w:p>
      <w:r>
        <w:rPr>
          <w:b/>
        </w:rPr>
        <w:t>E. 5</w:t>
      </w:r>
    </w:p>
    <w:p>
      <w:r>
        <w:t>Der Streitwert beträgt weniger als Fr. 15'000.-, weshalb die Beschwerde in öffentlich-rechtlichen Angelegenheiten an das Bundesgericht nur zulässig wäre, wenn sich eine Rechtsfrage von grundsätzlicher Bedeutung stellen würde (Art. 85 Abs. 1 lit. b in Verbindung mit Abs. 2 des Bundesgerichtsgesetzes vom 17. Juni 2005 [BGG, SR 173.110]). Dies gilt selbst dann, wenn die Gleichstellung der Geschlechter betroffen ist, da sich in den vermögensrechtlichen Angelegenheiten die Zulässigkeit der Beschwerde einzig nach dieser Bestimmung und nicht auch noch nach Art. 83 lit. g letzter Teil BGG richtet (Hansjörg Seiler/Nicolas von Werdt/Andreas Güngerich, Bundesgerichtsgesetz, Bern 2007, Art. 83 N. 62 f., Art. 85 N. 7). Sollte zudem die subsidiäre Verfassungsbeschwerde ergriffen werden, so müsste dies in derselben Rechtsschrift erfolgen (Art. 113 ff., 119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