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PB.2010.00004 vom 16. Juni 2010</w:t>
      </w:r>
    </w:p>
    <w:p>
      <w:r>
        <w:t>ZH Verwaltungsgericht, 2010-06-16, DE</w:t>
      </w:r>
    </w:p>
    <w:p>
      <w:r>
        <w:rPr>
          <w:b/>
        </w:rPr>
        <w:t xml:space="preserve">Quelle: </w:t>
      </w:r>
      <w:r>
        <w:t>https://mcp.opencaselaw.ch/entscheid/zh_verwaltungsgericht__PB.2010.00004</w:t>
      </w:r>
    </w:p>
    <w:p>
      <w:r>
        <w:t>FR: ZH_VERWALTUNGSGERICHT PB.2010.00004 du 16 juin 2010</w:t>
      </w:r>
    </w:p>
    <w:p>
      <w:r>
        <w:t>IT: ZH_VERWALTUNGSGERICHT PB.2010.00004 del 16 giugno 2010</w:t>
      </w:r>
    </w:p>
    <w:p>
      <w:pPr>
        <w:pStyle w:val="Heading2"/>
      </w:pPr>
      <w:r>
        <w:t>Regeste</w:t>
      </w:r>
    </w:p>
    <w:p>
      <w:r>
        <w:t>Rückforderung von Weiterbildungskosten | Rückforderung von Weiterbildungskosten Nach dem Wortlaut von § 94 Abs. 2 der Vollzugsverordnung zum Personalgesetz ist ein Rückforderungsvorbehalt vorzusehen für den Fall, dass "das Arbeitsverhältnis aus Gründen aufgelöst wird, die bei dem oder der Angestellten liegen"; es kann somit grundsätzlich nur darauf ankommen, aus welchem Grund das Arbeitsverhältnis aufgelöst wurde, nicht aber darauf, wer die Kündigung ausgesprochen hat. Der Rückforderungsvorbehalt entfällt dabei nicht bei jeder noch so geringfügigen Verletzung personalrechtlicher Pflichten. Die Gründe für die Auflösung des Arbeitsverhältnisses haben eine gewisse Intensität aufzuweisen; mithin ist also nach der Unzumutbarkeit der Fortsetzung des Arbeitsverhältnisses zu fragen. Diese Unzumutbarkeit kann jedoch nicht ohne Weiteres mit der für eine fristlose Kündigung bzw. Entlassung geforderten gleichgestellt werden. Es genügen bereits weniger schwere Verfehlungen des Arbeitgebers bzw. Arbeitnehmers, um das Vertrauensverhältnis zwischen den Parteien als derart gestört zu betrachten, dass eine Weiterführung während der Verweilfrist nicht mehr zumutbar ist (E. 2.5). Angesichts aller Umstände, insbesondere der Tatsache, dass während Jahren keine ordnungsgemässe Mitarbeiterbeurteilung durchgeführt wurde und der Beschwerdeführer dies mehrmals beanstandete, war eine Fortsetzung des Arbeitsverhältnisses für mindestens weitere dreieinhalb Jahre bis zum Ablauf der Verweilfrist nicht mehr zumutbar (E. 2.6.3 ff.). Gutheissung</w:t>
      </w:r>
    </w:p>
    <w:p>
      <w:pPr>
        <w:pStyle w:val="Heading2"/>
      </w:pPr>
      <w:r>
        <w:t>Erwägungen</w:t>
      </w:r>
    </w:p>
    <w:p>
      <w:r>
        <w:rPr>
          <w:b/>
        </w:rPr>
        <w:t>E. 3</w:t>
      </w:r>
    </w:p>
    <w:p>
      <w:r>
        <w:t>Da es sich um eine personalrechtliche Streitigkeit mit einem Streitwert unter Fr. 20'000.- handelt, sind für das vorliegende Verfahren keine Kosten zu erheben (§ 80b VRG). Dem obsiegenden Beschwerdeführer ist antragsgemäss eine Parteientschädigung zuzusprechen (§ 17 Abs. 2 VRG).</w:t>
      </w:r>
    </w:p>
    <w:p>
      <w:r>
        <w:rPr>
          <w:b/>
        </w:rPr>
        <w:t>E. 4</w:t>
      </w:r>
    </w:p>
    <w:p>
      <w:r>
        <w:t>Vorliegend liegt der Streitwert unter Fr. 15'000.-. Gegen diesen Entscheid ist die Beschwerde in öffentlich-rechtlichen Angelegenheiten an das Bundesgericht nur unter der Bedingung zulässig, dass sich eine Rechtsfrage von grundsätzlicher Bedeutung stellt; ansonsten ist lediglich die subsidiäre Verfassungsbeschwerde gegeben (Art. 85 Abs. 1 lit. a und Abs. 2 sowie Art. 113 des Bundesgerichtsgesetzes vom 17. Juni 2005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