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PB.2003.00040 vom 30. April 2003</w:t>
      </w:r>
    </w:p>
    <w:p>
      <w:r>
        <w:t>ZH Verwaltungsgericht, 2003-04-30, DE</w:t>
      </w:r>
    </w:p>
    <w:p>
      <w:r>
        <w:rPr>
          <w:b/>
        </w:rPr>
        <w:t xml:space="preserve">Quelle: </w:t>
      </w:r>
      <w:r>
        <w:t>https://mcp.opencaselaw.ch/entscheid/zh_verwaltungsgericht__PB.2003.00040</w:t>
      </w:r>
    </w:p>
    <w:p>
      <w:r>
        <w:t>FR: ZH_VERWALTUNGSGERICHT PB.2003.00040 du 30 avril 2003</w:t>
      </w:r>
    </w:p>
    <w:p>
      <w:r>
        <w:t>IT: ZH_VERWALTUNGSGERICHT PB.2003.00040 del 30 aprile 2003</w:t>
      </w:r>
    </w:p>
    <w:p>
      <w:pPr>
        <w:pStyle w:val="Heading2"/>
      </w:pPr>
      <w:r>
        <w:t>Regeste</w:t>
      </w:r>
    </w:p>
    <w:p>
      <w:r>
        <w:t>Freistellung | Freistellung eines Primarschullehrers wegen angeblicher Verletzung der Schamgrenze von Schülerinnen: Schutzwürdiges Interesse an der Anfechtung der Freistellung unter Lohnfortzahlung im konkreten Fall; Zulässigkeit der Massnahme. Die Beschwerde verlangt die Feststellung der Unrechtmässigkeit der Freistellung, weshalb sie trotz der missverständlichen Formulierung der Anträge an die Hand zu nehmen ist (E. 1). Prüfung der von der Vorinstanz verneinten Rekurslegitimation: Die Freistellung kann in die Rechte einer Person eingreifen, wenn sie den Verdacht einer Straftat oder schwerer Verfehlungen gegen Dienstpflichten aufkommen lässt. Der Beschwerdeführer hat ein schutzwürdiges Interesse, gegen den Verdacht der Verletzung der Schamgrenze von Schülerinnen vorzugehen. Dieses Interesse erlischt nicht mit der Beendigung des Arbeitsverhältnisses. Die Vorinstanz hätte deshalb auf den Rekurs insoweit eintreten müssen (E. 3). Rechtmässigkeit der Freistellung im konkreten Fall (E. 4.1). Die mit dem Beschwerdeführer getroffene Vereinbarung zur Beendigung des Arbeitsverhältnisses ist als verwaltungsrechtlicher Vertrag zu werten. Sie ändert nichts an der Verhältnismässigkeit der Freistellung, weil die Verwaltung nicht zum vertraglichen Handeln verpflichtet war und auf diese Weise nicht die Wirkung der Freistellung erreicht werden konnte (E. 4.2). Reformatorischer Entscheid des Verwaltungsgerichts im Sinn der Prozessökonomie; Verzicht auf eine rein formelle Änderung des vorinstanzlichen Dispositivs (E. 5). Abweisung.</w:t>
      </w:r>
    </w:p>
    <w:p>
      <w:pPr>
        <w:pStyle w:val="Heading2"/>
      </w:pPr>
      <w:r>
        <w:t>Erwägungen</w:t>
      </w:r>
    </w:p>
    <w:p>
      <w:r>
        <w:rPr>
          <w:b/>
        </w:rPr>
        <w:t>E. 4</w:t>
      </w:r>
    </w:p>
    <w:p>
      <w:r>
        <w:t>Die Verfügung vom 17. Juni 2003 war – wie erwähnt – im Wesentlichen wie folgt begrün­det worden: Der Verdacht, der Beschwerdeführer habe die Weisungen vom 28. November 2001 gebrochen, habe zu einer äusserst schwierigen Situation für alle Beteiligten geführt, die zum Wohl der Schule dadurch beruhigt werden müsse, dass der Beschwerdeführer frei­gestellt werde. Die Vorinstanz begründet die Rechtmässigkeit der angefochtenen Frei­stel­lung im Wesentlichen damit, dass der dringende Verdacht bestanden habe, der Be­schwer­de­führer habe weisungswidrig die notwendige körperliche Distanz zu den Kindern nicht gewahrt, weshalb die Massnahme zur Beruhigung der Beteiligten und der Öffentlich­keit an­gebracht gewesen sei. Der Beschwerdeführer bestreitet die Berechtigung eines drin­genden Verdachts, weil am 17. Juni 2003, als die Verfügung erlassen wurde, die Vorwürfe noch gar nicht abgeklärt worden seien. Die Freistellung sei zudem unverhältnismässig ge­wesen, weil sie im Zeitpunkt ihres Erlasses ohnehin nicht mehr notwendig gewesen wäre, da der Beschwerdeführer damals infolge seiner Erkrankung gar nicht mehr unterrichtet habe und sich in der unter dem Datum des 17. Juni 2003 abgeschlossenen Vereinbarung auch zu diesem Verzicht verpflichtet habe.</w:t>
      </w:r>
    </w:p>
    <w:p>
      <w:r>
        <w:rPr>
          <w:b/>
        </w:rPr>
        <w:t>E. 4.1</w:t>
      </w:r>
    </w:p>
    <w:p>
      <w:r>
        <w:t>Die neuerlichen Vorwürfe, die in der Besprechung vom 21. Mai 2003 dem Be­schwer­de­führer vorgehalten und von diesem bestritten wurden, beruhten auf zwei Meldun­gen: Zum einen hatte eine Praktikantin und ehemalige Schülerin des Beschwerdeführers aus­gesagt, sie habe beobachtet, wie dieser einem "Mädchen in einer zärtlichen Geste die Haare aus dem Gesicht strich, über den Kopf streichelte und seine Hand auf den Nacken des Mädchens legte". Zum andern hatten zwei Mädchen aus der Klasse des Beschwerde­führers einer Handarbeitslehrerin mitgeteilt, sie hätten kein gutes Gefühl, was das bevor­stehende Klassenlager betreffe. Eines dieser Mädchen erzählte der Hand­arbeitslehrerin laut deren Schilderung zudem, dass der Beschwerdeführer bei einer Demonstration im Turn­unterricht einen unnötigen und auffälligen Körperkontakt zu einem Mädchen hergestellt habe und ohne anzuklopfen in die Mädchendusche eingetreten sei.</w:t>
      </w:r>
    </w:p>
    <w:p>
      <w:r>
        <w:rPr>
          <w:b/>
        </w:rPr>
        <w:t>E. 4.1.1</w:t>
      </w:r>
    </w:p>
    <w:p>
      <w:r>
        <w:t>Der Beschwerdeführer macht geltend, die Freistellung sei ohne vorgängige Unter­suchung erfolgt. Damit verkennt er jedoch das Wesen und den Zweck der Freistellung als einer vorläufigen Lösung im Sinn einer vorsorglichen Massnahme. Des­halb ist auch der weitere Verlauf der von der Beschwerdegegnerin am 2. Juli 2003 in Auf­trag gegebenen Ad­mi­nistrativuntersuchung nicht von Belang. Die Rechtmäs­sigkeit der Freistellung ist vielmehr aufgrund der Kenntnisse der Beschwerdegegnerin im Zeitpunkt des Verfügungs­erlasses, also am 17. Juni 2003, zu beurteilen. Nichts anderes ergibt sich aus der vom Beschwerdeführer angerufenen Fürsorge­pflicht des Arbeitgebers, die in § 39 PG in Verbindung mit § 2 LPG verankert ist und im Übrigen ohnehin als Ausfluss der allgemeinen Grundsätze des Ver­fassungs- und Verwaltungsrechts gilt (VGr, 7. Januar 2004, PB.2003.00022, E. 7.1, www.vgrzh.ch; RB 2002 Nr. 131). Diese musste zwar von der Beschwerdegegnerin bei ihrem Vorgehen berücksichtigt werden, ändert jedoch nichts daran, dass über die Freistellung ohne umfassende Abklärung auf­grund einer Prüfung der gesetzlichen Kriterien zu entscheiden war, nachdem die Primar­schulpflege X mit Faxschreiben vom 26. Mai 2003 den entsprechenden Antrag gestellt hatte.</w:t>
      </w:r>
    </w:p>
    <w:p>
      <w:r>
        <w:rPr>
          <w:b/>
        </w:rPr>
        <w:t>E. 4.1.2</w:t>
      </w:r>
    </w:p>
    <w:p>
      <w:r>
        <w:t>Nach § 24 Abs. 2 LPG kann eine Freistellung ausgesprochen werden, wenn "das Wohl der Schule es verlangt, insbesondere wenn eine Gefährdung von Schülerinnen und Schülern zu befürchten ist". Der letztgenannte Grund ist bloss beispielhaft; massgebend ist das "Wohl der Schule". Die Einleitung eines Hauptverfahrens ist nach § 24 LPG keine Voraussetzung der Freistellung. Begründet wurde die Freistellung nicht direkt mit dem Verdacht gegenüber dem Be­schwerdeführer, er habe die Intimsphäre von Schülerinnen nicht genügend geachtet, son­dern damit, dass entsprechende Handlungen einen Weisungsbruch darstellen würden und dass bereits der Verdacht eine schwierige Situation an der Schule schaffe, die nur durch die Freistellung beruhigt werden könne. In diesem Sinn hatte sich der Vertreter der Beschwer­degegnerin bereits in der Besprechung vom 21. Mai 2003 geäussert. Auch die Vorinstanz begründet die Freistellung nicht allein mit dem Verdacht gegenüber dem Beschwerdefüh­rer, sondern damit, dass aufgrund dieses Verdachts die fragliche Massnahme zur Beruhi­gung der Situation im Schulhaus und in der Öffentlichkeit ange­bracht gewesen sei. Da die Stimmung in der Lehrerschaft des betreffenden Schulhauses wegen der anhaltenden Ge­rüchte um den Beschwerdeführer ohnehin ange­spannt war, ist die Entscheidung der Be­schwerde­gegne­rin, im Namen des Wohls der Schule die Freistellung zu verfügen, nicht zu beanstanden. Dass der Beschwerdeführer auf diese Weise dem Verdacht ausgesetzt blieb, er habe erneut die Schamgrenze der Kinder missachtet, durfte und musste die Beschwerdegegnerin auf­grund der Vorgeschichte gering gewichten. Seit 1994 waren immer wieder entsprechende Vorwürfe gegenüber dem Beschwerdeführer laut geworden. Zwar war das eingeleitete Strafverfahren am 12. Juni 1996 mangels eines konkreten Verdachts auf strafbare Hand­lungen eingestellt worden. Hingegen hält der "Zwischenbericht im Administrativverfah­ren" vom 9. Oktober 2000 fest, dass der Beschwerdeführer "es immer wieder unterliess, die körperliche Distanz zu seinen Schülerinnen zu wahren und er durch bestimmte Ver­haltensweisen auf Schamgefühle seiner SchülerInnen nicht gebührend Rücksicht nahm". Im Übrigen hatte die Untersuchungsbeauftragte das Vorlie­gen sexueller Handlungen mit Kindern verneint, wobei sie in einem Fall die strafrechtliche Würdigung offen gelassen und auch nicht näher untersucht hatte, ob Übertretungen oder Disziplinarfehler vorge­kommen waren, da ohnehin die Verjährung bereits eingetreten wäre. Angesichts dieser längeren Vorgeschichte war die Beschwerde­gegnerin durchaus gehalten, auf die neuerli­chen Vorwürfe konsequent zu reagieren.</w:t>
      </w:r>
    </w:p>
    <w:p>
      <w:r>
        <w:rPr>
          <w:b/>
        </w:rPr>
        <w:t>E. 4.1.3</w:t>
      </w:r>
    </w:p>
    <w:p>
      <w:r>
        <w:t>Die Vorinstanz hat zur Rechtfertigung der Freistellung weiter angeführt, es werde mit dieser Massnahme sichergestellt, dass die betroffenen Lehrpersonen für die Dauer des Ver­fahrens keinen Einfluss auf Schulkinder oder Lehrerinnen und Lehrer nehmen könnten, die im Administrativverfahren als Auskunftspersonen angehört werden sollten. Der Beschwer­deführer wendet dagegen ein, diese Bemerkung habe keinen Bezug zur kon­kreten Situa­tion. Zudem hätte er bereits vor dem Erlass der Verfügung Einfluss nehmen können. Die Frage kann offen bleiben, da sich die Freistellung bereits mit andern Gründen recht­fertigen liess. Immerhin durfte die Beschwerdegegnerin davon ausgehen, dass die mit dem Fernbleiben des Beschwerdeführers vom Schulhaus zu erwartende Entspannung der Situa­tion sich auch förderlich auf die Administrativuntersuchung auswirken würde. Es ist daher jedenfalls vertretbar, die Freistellung auch damit zu begründen, dass sie aus damaliger Sicht den Gang dieser Untersuchung positiv hätte beeinflussen können.</w:t>
      </w:r>
    </w:p>
    <w:p>
      <w:r>
        <w:rPr>
          <w:b/>
        </w:rPr>
        <w:t>E. 4.1.4</w:t>
      </w:r>
    </w:p>
    <w:p>
      <w:r>
        <w:t>Der Beschwerdeführer kann sodann nichts zu seinen Gunsten aus der Tatsache ablei­ten, dass die Freistellung erst drei Wochen nach Eingang des entsprechenden Antrags ver­fügt wurde, da dies nicht gegen ihre sachliche Notwendigkeit spricht. Unzutreffend ist schliesslich der Vorwurf, die Freistellung sei ohne Beachtung der Besonderheit des Einzel­falls erfolgt.</w:t>
      </w:r>
    </w:p>
    <w:p>
      <w:r>
        <w:rPr>
          <w:b/>
        </w:rPr>
        <w:t>E. 4.2</w:t>
      </w:r>
    </w:p>
    <w:p>
      <w:r>
        <w:t>Der Beschwerdeführer bringt weiter vor, die am 17. Juni 2003 angeordnete Freistellung sei im Zeitpunkt ihres Erlasses nicht mehr verhältnismässig gewesen, da aufgrund seiner Erkrankung und der Vereinbarung über die Beendigung des Arbeitsverhältnisses ohnehin sichergestellt gewesen sei, dass er keinen Unterricht mehr erteilen werde. Zu präzisieren ist, dass die Vereinbarung zwar das Datum des 17. Juni 2003 trägt, aber vom Beschwerde­führer erst am 18. Juni 2003 unterzeichnet wurde. Dies ändert jedoch nichts Wesentliches am Vorbringen, die Freistellung sei – jedenfalls ab dem 18. Juni 2003 – unverhältnismäs­sig, weil unnötig gewesen.</w:t>
      </w:r>
    </w:p>
    <w:p>
      <w:r>
        <w:rPr>
          <w:b/>
        </w:rPr>
        <w:t>E. 4.2.1</w:t>
      </w:r>
    </w:p>
    <w:p>
      <w:r>
        <w:t>Der in Art. 5 Abs. 2 der Bundesverfassung vom 18. April 1999 (BV) verankerte Grund­satz der Verhältnismässigkeit verlangt, dass Verwaltungsmassnahmen zur Verwirk­lichung des im öffentlichen Interesse liegenden Ziels geeignet und notwendig sind sowie dass der angestrebte Zweck in einem vernünftigen Verhältnis zu den Freiheits­beschrän­kungen steht, die den Privaten auferlegt werden (Ulrich Häfelin/Georg Müller, Allgemei­nes Verwaltungsrecht, 4. A., Zürich etc. 2002, Rz. 581). Dass die Frei­stellung geeignet war, Unterrichtserteilung durch den Beschwerdeführer zu verhindern, steht ausser Frage.</w:t>
      </w:r>
    </w:p>
    <w:p>
      <w:r>
        <w:rPr>
          <w:b/>
        </w:rPr>
        <w:t>E. 4.2.2</w:t>
      </w:r>
    </w:p>
    <w:p>
      <w:r>
        <w:t>Die Parteien und die Primarschulgemeinde X haben die Auflösung des Ar­beitsverhält­nisses, die Lohnfortzahlung und den Verzicht des Beschwerdeführers auf die weitere Erteilung von Unterricht durch eine "Vereinbarung" geregelt. Zunächst ist zu prü­fen, ob es sich bei dieser tatsächlich um einen verwaltungsrechtlichen Vertrag handelt oder viel­mehr um zwei in einem koordinierten Verfahren erlassene Verfügungen, die im Rah­men des Ermessens der Verwaltungsbehörden auf Mitwirkung des Adressaten be­ru­h­ten. Der Abschluss eines subordinationsrechtlichen verwaltungsrechtlichen Vertrags gilt als zuläs­sig, wenn das Gesetz dafür Raum lässt bzw. ihn nicht ausdrücklich ausschliesst und wenn er zum Erreichen des Gesetzeszwecks geeigneter erscheint als eine Verfügung. Letz­teres bedeutet, dass eines der Motive für die Wahl der Vertragsform vorliegen muss und sich nicht aus andern Gründen die Verfügung als die angemessene Handlungsform er­wei­sen darf (Häfelin/Müller, Rz. 1071 mit Hinweisen). Als zulässige Motive für die Wahl der Vertragsform gelten etwa die Beseitigung rechtlicher Unklarheiten durch eine Einigung zwi­schen Behörden und Privaten oder ein erheblicher Ermessensspielraum der zuständigen Be­hörde (Häfelin/Müller, Rz. 1078). Das zürcherische Personalrecht sieht in § 23 Abs. 1 PG (hier in Verbindung mit §§ 2 und 8 LPG anwendbar) vor, dass das Arbeits­verhältnis im gegenseitigen Einvernehmen abweichend von den gesetzlichen Bestimmun­gen beendet werden kann. Daher ist davon auszugehen, dass das Gesetz grundsätzlich Raum für den Auf­hebungsvertrag lässt und auch einen erheblichen Ermessensspielraum vorsieht, der einen Grund für die Wahl der Vertragsform bietet. Eine vertragliche Auf­lösung des durch Verfügung begründeten Arbeitsverhältnisses ist daher denkbar (vgl. VGr, 26. September 2002, PK.2002.00004, E. 3c, www.vgrzh.ch; vgl. auch VGr BS, 27. Februar 2002, BJM 2003 S. 100 E. 2a; ETH-Rat, 28. Januar 1998, VPB 63/1999 Nr. 65 E. 2). Die Vereinbarung sieht – in sich widersprüchlich – vor, das Arbeitsverhältnis werde auf den 15. August 2003 aufgelöst, wobei der Lohn bis zum 15. August 2004 geschuldet sei. Eine von zwei denkbaren Auslegungen dieser Formulierung, die Auflösung des Arbeits­ver­hältnisses auf den 15. August 2003 unter Auszahlung einer Abgangsentschädigung in der Höhe eines Jahreslohns, wird dadurch ausgeschlossen, dass eine Abfindung nach § 26 PG ausdrücklich vorbehalten bleibt. Demnach ist die Regelung der Vereinbarung als Auf­lösung des Arbeitsverhältnisses auf den 15. August 2004 zu interpretieren, wobei ab dem 15. August 2003 eine Freistellung bei Lohnfortzahlung vereinbart wurde. Somit entspricht allerdings die Regelung der Vereinbarung im Hauptpunkt grundsätzlich der vom Gesetz vor­gesehenen Lösung einer ordentlichen Kündigung, die frühestens auf den 15. August 2004 zulässig gewesen wäre (§ 8 Abs. 2 LPG). Allein deswegen, weil sich die Parteien im Ergebnis auf die gesetzliche Lösung geeinigt haben, kann jedoch das Vorliegen eines Ver­trags noch nicht verneint werden. Immerhin ist dem Vergleich der definitiven Fassung der Vereinbarung mit den Entwürfen zu entnehmen, dass die Regelung auf Verhandlungen zwischen den Parteien beruht. Die Vereinbarung weicht auch in Ne­benpunkten von den Be­stimmungen der anwendbaren Gesetze ab, was nach § 23 Abs. 1 PG in Verbindung mit § 2 LPG nur bei der einvernehmlichen Auflösung des Arbeitsver­hältnisses zulässig ist: Zum einen war es anscheinend der Wille der Parteien, dass die Nachfolge des Be­schwer­de­füh­rers nicht im Sinn eines Vikariats geregelt werden sollte, wie es für die Dauer einer Freistellung vorgesehen ist (§ 5 Abs. 2 und § 24 Abs. 2 LPG). Zum andern wurde der an­zurechnende Zusatzverdienst in der endgültigen Fassung als Jahres­lohn und nicht – wie noch in den Entwürfen – als Monatslohn angegeben; daraus ergibt sich, dass bereits bei Abschluss der Vereinbarung ins Auge gefasst wurde, den Lohn für das Schuljahr 2003/2004 entgegen § 40 Abs. 2 der Vollzugsverordnung zum Personalge­setz vom 19. Mai 1999 gesamthaft im Voraus auszuzahlen, was dann auch geschah. Die Vereinbarung ent­hielt damit Elemente, die legalerweise nur mit einem Vertrag festgelegt werden konnten. Namentlich aufgrund dieser Abweichungen von der gesetzlichen Regelung im Sinn von § 23 Abs. 1 PG in Verbindung mit § 2 LPG ist die vorliegende Vereinbarung als ver­wal­tungs­rechtlicher Vertrag zu qualifizieren (vgl. auch Pierre Moor, Droit administratif, Vol. II, Bern 1991, S. 243; Gegenbeispiele: Eidgenössi­sche Personalrekurskommission, 30. Mai 2001, VPB 65/2001 Nr. 97 E. 3 [erwähnt bei Häfelin/Müller, Rz. 1073]; 21. Oktober 1999, VPB 64/2000 Nr. 36 E. 2c; VGr BS, 27. Februar 2002, BJM 2003 S. 100 E. 2a).</w:t>
      </w:r>
    </w:p>
    <w:p>
      <w:r>
        <w:rPr>
          <w:b/>
        </w:rPr>
        <w:t>E. 4.2.3</w:t>
      </w:r>
    </w:p>
    <w:p>
      <w:r>
        <w:t>Bei einem durch Verfügung entstandenen Arbeitsverhältnis schliesst der Abschluss eines Aufhebungsvertrags den Erlass oder das Fortbestehen einer Verfügung nicht aus, soweit sich diese mit dem Vertragsinhalt bzw. dessen Auslegung nach dem Vertrauens­prinzip verein­baren lässt (vgl. auch RB 2002 Nr. 26): Immerhin gehen Teile der Lehre davon aus, dass das Gemeinwesen selbst im Rahmen eines vertraglich vereinbarten öf­fentlichrechtlichen Arbeitsverhältnisses bei Vorliegen der entsprechenden Voraussetzun­gen einzelne Rechte und Pflichten durch Verfügung regeln darf (offen gelassen in RB 2002 Nr. 25 E. 2f/bb mit Hinweisen).</w:t>
      </w:r>
    </w:p>
    <w:p>
      <w:r>
        <w:rPr>
          <w:b/>
        </w:rPr>
        <w:t>E. 4.2.4</w:t>
      </w:r>
    </w:p>
    <w:p>
      <w:r>
        <w:t>Zu prüfen ist also, ob nach dem Inkrafttreten der Vereinbarung am 18. Juni 2003 das Festhalten an der Freistellung gemäss der Verfügung vom 17. Juni 2003 unverhältnismäs­sig war. Jedenfalls verfügt die Verwaltung über einen gewissen Spielraum, wenn sie der Ansicht ist, das mit einer Verfügung angestrebte Ziel könne einfacher und für die Be­tei­ligten schonender mit andern oder zusätzlichen Handlungen erreicht werden, zum Beispiel – wie hier – mit einem verwaltungsrechtlichen Vertrag oder auch informell wie etwa mit einer vorgängigen Besprechung des Verfügungsinhalts. So kann unter Um­ständen, wo eine Kündigung angebracht wäre, der oder die betreffende An­gestellte zunächst zur Kündigung aus scheinbar eigenem Antrieb oder im gegenseitigen Einverneh­men aufgefordert werden, oder es kann allenfalls ein Urlaub gewährt werden, wo eine Freistellung zulässig wäre. Ein solches Vorgehen kann der Praktikabilität dienen und letzt­lich auch dem Rechtsfrieden, wenn dergestalt eine gütliche Einigung zustande kommt. Einem derartigen informellen oder vertraglichen Handeln setzen jedoch umgekehrt das Legalitätsprinzip, die Gebote der Rechtssicherheit und der Rechtsgleichheit sowie allen­falls wiederum die Praktikabilität Schranken. Zudem muss die Verwaltung derartige Handlungsspielräume nicht ausnutzen. Sie kann deshalb nicht im Namen des Verhältnis­mässigkeitsprinzips dazu angehalten werden, solche alternativen Lösungen zu suchen, wenn der Erlass einer Verfügung zulässig ist. Ebenso wenig ergibt sich dies aus der Für­sorgepflicht des Staats als Arbeitgeber. Wenn – wie hier – die gesetzlichen Voraussetzun­gen zum Erlass einer Verfügung gegeben sind, kann diese nicht deshalb unnötig und damit unverhältnismässig sein, nur weil die Verwaltung darauf verzichtet hat, die Sache vertrag­lich zu regeln oder informelle Handlungen vorzunehmen. Wenn also die Beschwerdegeg­nerin – zusammen mit der Primarschulgemeinde X – vorliegend auf den Ab­schluss der Ver­einbarung oder zumindest auf die einvernehmliche Regelung des Fernblei­bens des Beschwerdeführers von der Schule gänzlich hätte verzichten können, so kann es auch nicht unverhältnismässig sein, wenn sie trotz der Vereinbarung an der Freistellung gemäss der Verfügung vom 17. Juni 2003 festgehalten hat.</w:t>
      </w:r>
    </w:p>
    <w:p>
      <w:r>
        <w:rPr>
          <w:b/>
        </w:rPr>
        <w:t>E. 4.2.5</w:t>
      </w:r>
    </w:p>
    <w:p>
      <w:r>
        <w:t>Wie die Vorinstanz ausführt, konnte im Übrigen letztlich nur durch die Freistellung sichergestellt werden, dass der Beschwerdeführer bis zur Auflösung des Arbeitsverhältnis­ses nicht mehr unterrichtete. Nur diese Anordnung war bereits ab dem Zeitpunkt ihres Er­lasses erzwingbar, weil nach ausdrücklicher gesetzlicher Regelung den Rechtsmitteln ge­gen die Freistellung keine aufschiebende Wirkung zukommt (§ 10 Abs. 2 LPG). Die Re­gelung der Vereinbarung hätte dagegen vom Beschwerdeführer allenfalls mit aufschie­bender Wirkung angefochten werden können, und dass er "bis auf weiteres" krank­ge­schrie­ben war, hätte nicht verhindert, dass er erneut hätte unterrichten können, sobald ihm wieder eine teilweise Arbeitsfähigkeit bescheinigt worden wäre. Daran ändert die Mitteilung der Be­schwerdegegnerin an die Primarschulpflege X, die Abwesen­heit des Be­schwer­deführers aufgrund des ärzt­lichen Attests werde als Krankheitsurlaub behandelt, nichts. Das Fehlen von Hinweisen, dass der Beschwerdeführer der Ver­einbarung zuwidergehandelt hätte, ist ebenso unerheblich: Die Annahme, der Adressat einer Verfügung verhalte sich rechtmäs­sig, macht die Verfügung nicht unverhältnismässig. Im Übrigen war die Freistellung bei Lohnfortzahlung kein schwerer Eingriff in die Rechte des Beschwerdeführers, und zudem hätte die Aufhebung der Freistellung mit der Begrün­dung, die Vereinbarung mache sie überflüssig, den Verdacht nicht ausgeräumt, dass der Be­schwerdeführer die Intimsphäre der Kinder nicht gewahrt habe. Das Interesse des Be­schwerdeführers an einer Aufhebung der Freistellung war daher gering und von unterge­ordneter Bedeutung, und das Festhalten der Beschwerde­gegnerin an der Freistellung er­weist sich demnach als verhältnismässig.</w:t>
      </w:r>
    </w:p>
    <w:p>
      <w:r>
        <w:rPr>
          <w:b/>
        </w:rPr>
        <w:t>E. 4.3</w:t>
      </w:r>
    </w:p>
    <w:p>
      <w:r>
        <w:t>Sodann bringt der Beschwerdeführer gegen die Erwägungen der Vorinstanz vor, es gehe nicht an, die Freistellungsverfügung mit Argumenten zu untermauern, die nicht ein­mal die verfügende Behörde angeführt habe. Die Vorinstanz war jedoch auf­grund des Anspruchs des Beschwerdeführers auf rechtliches Gehör (Art. 29 Abs. 2 BV) und gemäss dem Grundsatz der Rechtsanwendung von Amts wegen (§ 7 Abs. 4 Satz 2 VRG) sogar verpflichtet, sich mit den Argumenten in der Rekursschrift auseinander­zuset­zen und das Vorliegen der gesetzlichen Voraussetzungen für die umstrittene Frei­stellung umfassend zu prüfen. Die Vorinstanz – ebenso wie das Verwaltungsgericht – wäre im Übrigen auch zur Motivsubstitution berechtigt gewesen (Kölz/Boss­hart/Röhl, Vorbem. zu §§ 19-28 N. 71, § 20 N. 44).</w:t>
      </w:r>
    </w:p>
    <w:p>
      <w:r>
        <w:rPr>
          <w:b/>
        </w:rPr>
        <w:t>E. 4.4</w:t>
      </w:r>
    </w:p>
    <w:p>
      <w:r>
        <w:t>Fraglich ist schliesslich, ob mit der Bemerkung, die Freistellung sei "hinter dem Rücken des Beschwerdeführers" erfolgt, eine Verletzung des Anspruchs auf rechtliches Gehör geltend gemacht wird. Eine solche kann allerdings ausgeschlossen wer­den, genügte doch hier zur Wahrung des Gehörsanspruchs die Gelegenheit zur Äusserung an der Be­spre­chung vom 21. Mai 2003. An dieser Besprechung war auch ein Vertreter der Be­schwerdegegnerin anwesend, die Möglichkeit einer Freistellung wurde ausdrücklich er­wähnt, und aus dem Protokoll lässt sich die Stellungnahme des Be­schwerdeführers klar erschliessen (vgl. zum Anspruch auf rechtliches Gehör auch VGr, 10. Juli 2002, ZBl 104/2003 S. 185 E. 5c+7c).</w:t>
      </w:r>
    </w:p>
    <w:p>
      <w:r>
        <w:rPr>
          <w:b/>
        </w:rPr>
        <w:t>E. 5.1</w:t>
      </w:r>
    </w:p>
    <w:p>
      <w:r>
        <w:t>Der materiellen Eventualbegründung der Vorinstanz ist insgesamt beizupflichten. Die Prozessökonomie rechtfertigt unter diesen Umständen, die Angelegenheit nicht an die Vorinstanz zurückzuweisen. Dass die Entscheidungsbefugnis des Verwaltungsgerichts nach § 80 Abs. 2 VRG gegenüber derjenigen der Vorinstanz eingeschränkt ist, spielt bei diesem Ergebnis keine Rolle und spricht deshalb ebenfalls nicht für die Rückweisung. Schliesslich verfügt das Verwaltungsgericht im Rahmen seiner Kompetenz zur Neuent­scheidung ausnahmsweise über die Befugnis, Ermessensfragen zu beurteilen (RB 1987 Nr. 12; Kölz/Bosshart/Röhl, § 63 N. 11), sodass auch keine Kognitions­beschränkung der Neuentscheidung entgegensteht.</w:t>
      </w:r>
    </w:p>
    <w:p>
      <w:r>
        <w:rPr>
          <w:b/>
        </w:rPr>
        <w:t>E. 5.2</w:t>
      </w:r>
    </w:p>
    <w:p>
      <w:r>
        <w:t>Da die Kammer zum Schluss gekommen ist, dass die Vorinstanz auf den Rekurs hätte eintreten müssen, müsste streng genommen Dispositiv-Ziffer I des Rekursentscheids da­hin­gehend abgeändert werden, dass der Rekurs gegen die Verfügung des Volksschul­amts abgewiesen werde, soweit darauf eingetreten werde. Eine solche Änderung des vorin­stanz­lichen Dispositivs erscheint indessen als formeller Leerlauf, weshalb darauf zu verzichten ist. Auf diesen Umstand wird immerhin insoweit hingewiesen, als die Be­schwer­de – soweit darauf eingetreten wird – "im Sinn der Erwägungen" abgewiesen wird.</w:t>
      </w:r>
    </w:p>
    <w:p>
      <w:r>
        <w:rPr>
          <w:b/>
        </w:rPr>
        <w:t>E. 5.3</w:t>
      </w:r>
    </w:p>
    <w:p>
      <w:r>
        <w:t>Der Verweis auf die Erwägungen im Dispositiv des vorliegenden Entscheids drängt sich auch aus folgendem Grund auf: Es ist hier ausdrücklich festzuhalten, dass die Dispo­sitiv-Ziffern II und III der Verfügung vom 17. Juni 2003 betreffend die Lohnfortzahlung aufgrund der Regelung der Lohnfortzahlung in der Vereinbarung gegenstands­los wurden, weshalb auch ein aktuelles Interesse an ihrer Anfechtung fehlte (vorn 3.2). Diese Feststel­lung ist nötig, weil sich die Rechtslage dem Wortlaut der Verfügung in Verbindung mit jenem der Vereinbarung nicht entnehmen lässt. Dabei soll hier offen blei­ben, ob die Ver­einbarung eine Rückforderung nach § 24 Abs. 3 LPG auszuschliessen vermöchte, falls die entsprechenden gesetzlichen Voraussetzungen gegeben wären.</w:t>
      </w:r>
    </w:p>
    <w:p>
      <w:r>
        <w:rPr>
          <w:b/>
        </w:rPr>
        <w:t>E. 6.1</w:t>
      </w:r>
    </w:p>
    <w:p>
      <w:r>
        <w:t>Materiell unterliegt der Beschwerdeführer, auch wenn das Dispositiv des vorinstanz­lichen Entscheids formell abgeändert werden müsste. Deshalb hat er die Verfahrens­kosten zu tragen (§ 13 Abs. 2 Satz 1 VRG) und ist ihm eine Parteientschädigung zu verweigern (§ 17 Abs. 2 VRG).</w:t>
      </w:r>
    </w:p>
    <w:p>
      <w:r>
        <w:rPr>
          <w:b/>
        </w:rPr>
        <w:t>E. 6.2</w:t>
      </w:r>
    </w:p>
    <w:p>
      <w:r>
        <w:t>Die Vorinstanz hat den Antrag des damaligen Rekurrenten auf Zusprechung einer Partei­entschädigung ebenfalls abgewiesen. Hier ist immerhin zu berücksichtigen, dass der Rekurs in Bezug auf die Regelung der Lohnfortzahlung in der angefochtenen Verfügung deshalb gegenstandslos geworden war, weil die Beschwerdegegnerin mittlerweile die für den damaligen Rekurrenten günstigere Vereinbarung abgeschlossen hatte (vgl. zu den Kosten- und Entschädigungsfolgen bei Gegenstandslosigkeit VGr, 30. April 2003, VB.2003.00053, E. 2 Abs. 1, www.vgrzh.ch; Kölz/Bosshart/Röhl, § 13 N. 19, § 17 N. 25). Da sich aber der Rekurs materiell gar nicht ausdrücklich gegen diese Regelung gerichtet hatte, ändert dies nichts daran, dass der Beschwerdeführer als im Wesentlichen unter­lie­gende Partei des Rekursverfahrens zu betrachten ist und deshalb keine Partei­ent­schä­di­gung für dieses beanspruchen kann. Demgemäss entscheidet die Kammer : 1.    Die Beschwerde wird im Sinn der Erwägungen abgewiesen, soweit darauf eingetreten wird. 2.    Die Gerichtsgebühr wird festgesetzt auf Fr.    2'000.--;  die übrigen Kosten betragen: Fr.        60.--   Zustellungskosten, Fr.    2'060.--   Total der Kosten. 3.    Die Gerichtskosten werden dem Beschwerdeführer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