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PB.2000.00029 vom 14. März 2001</w:t>
      </w:r>
    </w:p>
    <w:p>
      <w:r>
        <w:t>ZH Verwaltungsgericht, 2001-03-14, DE</w:t>
      </w:r>
    </w:p>
    <w:p>
      <w:r>
        <w:rPr>
          <w:b/>
        </w:rPr>
        <w:t xml:space="preserve">Quelle: </w:t>
      </w:r>
      <w:r>
        <w:t>https://mcp.opencaselaw.ch/entscheid/zh_verwaltungsgericht__PB.2000.00029</w:t>
      </w:r>
    </w:p>
    <w:p>
      <w:r>
        <w:t>FR: ZH_VERWALTUNGSGERICHT PB.2000.00029 du 14 mars 2001</w:t>
      </w:r>
    </w:p>
    <w:p>
      <w:r>
        <w:t>IT: ZH_VERWALTUNGSGERICHT PB.2000.00029 del 14 marzo 2001</w:t>
      </w:r>
    </w:p>
    <w:p>
      <w:pPr>
        <w:pStyle w:val="Heading2"/>
      </w:pPr>
      <w:r>
        <w:t>Regeste</w:t>
      </w:r>
    </w:p>
    <w:p>
      <w:r>
        <w:t>Kündigung | Bei formell und materiell korrekter Kündigung kann - unter Einhaltung weiterer Voraussetzungen - eine Abfindung nach § 26 PG geschuldet sein, auch wenn der Arbeitnehmer bereits eine neue Stelle hat, falls ihn kein Verschulden an der Kündigung trifft. Zuständigkeit und Legitimation (E. 2). Parteistellung der Schulgemeinde (E. 3a). Obwohl nur eine Replik und keine Duplik eingeholt worden ist, wurden die Grundsätze des Rechtliches Gehörs und der Gleichbehandlung der Parteien ('Waffengleichheit') gewahrt (E. 3b). Anwendbares Recht (E. 6). Anforderungen an die Gewährung des rechtlichen Gehörs bei ordentlicher Kündigung (E. 7a). Anforderungen an die Begründung (E. 7b). Wahrung der Kündigungsfrist und verfassungsrechtlicher Schranken (E. 8a+b). Entschädigung bei ungerechtfertiger Kündigung nach § 80 Abs. 2 VRG (E. 8c). Abfindung gemäss § 26 PG (E. 9). Höhe der Parteientschädigung für das vorinstanzliche Verfahren (E. 10).</w:t>
      </w:r>
    </w:p>
    <w:p>
      <w:pPr>
        <w:pStyle w:val="Heading2"/>
      </w:pPr>
      <w:r>
        <w:t>Erwägungen</w:t>
      </w:r>
    </w:p>
    <w:p>
      <w:r>
        <w:rPr>
          <w:b/>
        </w:rPr>
        <w:t>E. 4</w:t>
      </w:r>
    </w:p>
    <w:p>
      <w:r>
        <w:t>a) Als weitere Gehörsverletzung rügt die beschwerdeführende Gemeinde zur Be­gründung ihres Rückweisungsantrags eine unzureichende Abklärung des massgeblichen Sachverhalts sowie die ungenügende Begründung des angefochtenen Entscheids. Die Vor­instanz habe zu wenig berücksichtigt, dass Grund der Kündigung nicht die einzelnen dem privaten Beschwerdeführer vorgeworfenen Vorkommnisse gewesen seien, sondern das über die Jahre hinweg zerrüttete Vertrauensverhältnis, wofür die beschwerdeführende Ge­meinde Beweise angeboten habe, welche die Vorinstanz unzulässigerweise nicht abge­nommen habe. Und auch in der Begründung sei sie auf die Hauptfrage, ob eine zerstörtes Vertrauensverhältnis vorliege und dies die Kündigung habe rechtfertigen können, mit kei­nem Wort eingegangen. b) Die Vorinstanz hat zunächst die von der beschwerdeführenden Gemeinde zur Begründung der geltend gemachten Zerrüttung ihres Vertrauens beispielhaft angeführten Vorkommnisse untersucht und sie insgesamt als nicht ausreichend gewürdigt, um eine Kündigung zu rechtfertigen. Auch wenn sie nicht ausdrücklich erwogen hat, diese Vor­kommnisse liessen nicht auf einen Vertrauensbruch schliessen, so hat sie einen solchen, indem sie ihre Würdigung den in Erw. 5. a zusammengefassten diesbezüglichen Darstel­lungen der Gemeinde gegenübergestellt hat (Erw. 5. b), jedenfalls implizit verneint. Ob dieser Schluss auf einer hinreichenden Abklärung und zutreffenden Würdigung des mass­geblichen Sachverhalts beruht, wird im Folgenden zu prüfen sein, und erfordert nicht von vornherein eine Rückweisung an die Vorinstanz (§ 63 Abs. 1 und § 64 Abs. 1 VRG).</w:t>
      </w:r>
    </w:p>
    <w:p>
      <w:r>
        <w:rPr>
          <w:b/>
        </w:rPr>
        <w:t>E. 5</w:t>
      </w:r>
    </w:p>
    <w:p>
      <w:r>
        <w:t>Im Beschwerdeverfahren bildet ein einmaliger Schriftenwechsel die Regel (§ 58 VRG). Ein weiterer Schriftenwechsel muss angeordnet werden, wenn das Verwaltungsge­richt zum Nachteil des Beschwerdeführers auf erstmals in der Beschwerdeantwort vorge­brachte tatsächliche Behauptungen abstellen oder von sich aus neu eingetretene oder bisher ausser Acht gelassene Tatsachen berücksichtigen will (RB 1983 Nr. 21, 1982 Nr. 6), sowie wenn das Gericht den Entscheid auf einen von der Vorinstanz und den Parteien bisher nicht beachteten Rechtsgrund stützen will (Kölz/Bosshart/Röhl, § 58 N. 2). Mangels solcher Gründe ist auf den von der Gemeinde beantragten zweiten Schriftenwechsel zu verzichten. Ob neben dem Beizug der vorinstanzlichen Akten weitere Beweisabnahmen erforderlich sind, wird im Zusammenhang mit den für den Vertrauensverlust der Schulpflege genannten Gründen zu prüfen sein.</w:t>
      </w:r>
    </w:p>
    <w:p>
      <w:r>
        <w:rPr>
          <w:b/>
        </w:rPr>
        <w:t>E. 6</w:t>
      </w:r>
    </w:p>
    <w:p>
      <w:r>
        <w:t>Die beschwerdeführende Gemeinde wirft der Vorinstanz in erster Linie vor, sie sei zu Unrecht von der Anwendbarkeit der Kündigungsschutzbestimmungen des Personal­gesetzes ausgegangen. a) Gemäss § 1 Abs. 1 PG unterstehen diesem Gesetz das Personal des Staates und seiner unselbständigen Anstalten; laut Absatz 2 gilt das Gesetz für die Lehrkräfte an Semi­naren, Mittelschulen und Berufsschulen, soweit nicht besondere Bestimmungen bestehen. Nicht unterstellt sind dem Personalgesetz somit die Volksschullehrkräfte. Auf diese findet es gemäss § 2 LPG nur Anwendung, sofern das Lehrerpersonalgesetz keine ausdrückliche Regelung enthält. Von diesem standen im Zeitpunkt der Kündigung am 14. Februar 2000 und auch bei Auflösung des Dienstverhältnisses am 15. August 2000 lediglich §§ 5, 29 und 30 lit. a und b in Kraft, nicht jedoch § 2 LPG betreffend die subsidiäre Anwendung des (allgemeinen) Personalgesetzes (Regierungsratsbeschluss vom 19. Januar 2000, OS 56, 53); die vollständige Inkraftsetzung erfolgte erst auf 1. Oktober 2000 (Regierungsratsbe­schluss vom 19. Juli 2000, OS 56, 216). b) Dass aufgrund dieser beschränkten Anwendbarkeit des (allgemeinen) Personal­gesetzes dessen in § 18 PG geregelter Kündigungsschutz hier noch nicht gilt, hält die Vor­instanz aus Gründen der Rechtsgleichheit für stossend, und sie will ihn deshalb "in verfas­sungskonformer Auslegung des Personalgesetzes" gleichwohl anwenden. Für eine solche "verfassungskonforme Auslegung" besteht indessen kein Spiel­raum. Anzuwenden (und nötigenfalls auszulegen) ist nicht das (allgemeine) Personalgesetz, sondern in erster Linie der auf 1. Februar 2000 in Kraft gesetzte § 29 LPG über die Über­führung (der auf Amtsdauer gewählten Lehrpersonen) ins Anstellungsverhältnis. Nach die­ser Übergangsbestimmung behalten die bei Inkrafttreten des Gesetzes gewählten Lehrper­sonen den Wahlstatus bis zum Ablauf der Amtsperiode (Abs. 1); ihr Dienstverhältnis wan­delt sich in diesem Zeitpunkt in ein Anstellungsverhältnis im Sinn des Lehrerpersonalge­setzes um, sofern das Dienstverhältnis nicht bis zum 15. Februar 2000 gekündigt wird (Abs. 2); die Bestimmungen des (allgemeinen) Personalgesetzes über die Abfindung sind auf diese Kündigungen anwendbar (Abs. 3). Diese Übergangsregelung ist eindeutig und lückenlos. Gerade weil sie bezüglich der Abfindungen auf das (allgemeine) Personalgesetz verweist, verbietet sich die An­nahme, der Gesetzgeber habe einen Verweis auf die Bestimmungen über den formellen Kündigungsschutz von § 18 PG versehentlich unterlassen. Daran ändert nichts, dass sich laut den Erwägungen der Vorinstanz die (vollständige) Inkraftsetzung des Lehrerpersonal­gesetzes verzögert hat. Denn nach § 29 Abs. 2 LPG wandelt sich das Dienstverhältnis der gewählten Lehrkräfte erst auf Ablauf ihrer letzten Amtsdauer in ein Anstellungsverhältnis nach dem Lehrerpersonalgesetz um und richtet sich deshalb eine allfällige Kündigung, wie sie gemäss § 29 Abs. 2 LPG bis zum 15. Februar 2000 vorgenommen werden muss, jeden­falls nicht nach den für das erst später beginnende neue Anstellungsverhältnis geltenden Bestimmungen. Auch eine Schlechterstellung des beschwerdeführenden Lehrers im Ver­gleich mit dem übrigen Staatspersonal liegt nicht vor, denn § 57 Abs. 4 PG bestimmte übergangsrechtlich, dass für Arbeitsverhältnisse, die beim Inkrafttreten des Personalgeset­zes bereits gekündigt, aber noch nicht aufgelöst waren, das bisherige Recht gelte. Schliess­lich hat die Nichtanwendbarkeit von § 18 PG nicht zur Folge, dass bisher gewählte Lehr­kräfte, deren Dienstverhältnisse gemäss § 29 Abs. 2 LPG bis 15. Februar 2000 gekündigt wurden, überhaupt keinen Kündigungsschutz beanspruchen konnten. Ein solcher ergibt sich bereits daraus, dass der Staat als öffentlichrechtlicher Arbeitgeber an verfassungs­rechtliche Grundprinzipien wie das Willkürverbot, die Grundsätze der Verhältnismässig­keit, von Treu und Glauben sowie in verfahrensmässiger Hinsicht des rechtlichen Gehörs gebunden ist. Der nämliche Schutz des Arbeitnehmers hätte auch bei einer (Nicht-)Wie­der­wahl bestanden, und es bestehen keine Anhaltspunkte dafür, dass der Gesetzgeber im Rahmen der Überführung von Beamten- in Anstellungsverhältnisse weitergehende Garan­tien hat einräumen wollen. Die Anwendung der Kündigungsschutzbestimmungen von § 18 PG durch die Vor­instanz erweist sich damit als rechtsirrtümlich.</w:t>
      </w:r>
    </w:p>
    <w:p>
      <w:r>
        <w:rPr>
          <w:b/>
        </w:rPr>
        <w:t>E. 7</w:t>
      </w:r>
    </w:p>
    <w:p>
      <w:r>
        <w:t>a) Das Verwaltungsgericht hat in RB 1995 Nr. 21 den Gehörsanspruch bei einer ordentlichen Kündigung konkretisiert (E. 2). Es hielt unter anderem fest, dass an die Ge­währung des rechtlichen Gehörs bei der ordentlichen Kündigung nicht allzu strenge Anfor­derun­gen gestellt werden dürften. Anders als beim Disziplinarverfahren würden der betrof­fenen Person bei der ordentlichen Kündigung keine schuldhaften Pflichtverletzungen vor­geworfen, sondern es gäben andere objektive und triftige Gründe wie etwa mangelhafte Fähig­keiten und Leistungen den Ausschlag. Es sei in aller Regel weder angezeigt noch üblich, vor dem Aussprechen einer ordentlichen Kündigung ein eigentliches Untersu­chungsverfahren über die Qualität der Arbeitsleistung durchzuführen. Vielmehr müsse es grundsätzlich genügen, wenn eine negative Leistungsbeurteilung durch den Vorgesetzten vorliege, diese dem Betroffenen eröffnet und ihm Gelegenheit zur Stellungnahme gegeben werde. Hier wurden diese Anforderungen ohne weiteres erfüllt. Nachdem der private Be­schwerdeführer am 28. Januar 2000 Gelegenheit erhalten hatte, in die im Zusammenhang mit der beabsichtigten Kündigung zusammengetragenen Akten Einsicht zu nehmen, erhielt er am 1. Februar 2000 vor einer Delegation der Schulpflege Gelegenheit, zu den ihm vor­geworfenen Kündigungsgründen Stellung zu nehmen. b) Soweit wie hier keine besonderen Bestimmungen gelten, richten sich die Anfor­derungen zur Begründung einer Kündigung nach § 10 Abs. 2 VRG.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mit Hinweisen). Die dem privaten Beschwerdeführer mit Verfügung vom 22. März 2000 zugestellte Begründung ist unter den gegebenen Umständen als ausreichend zu würdigen. Unter Hin­weis auf die Vorgeschichte und die Akten wird in den Erwägungen ausgeführt, dass das Vertrauen für eine weitere Zusammenarbeit massiv gestört sei und keinerlei Anhaltspunkte für eine Besserung erkennbar seien. Sodann wird auf die massgeblichen Rechtsgrundlagen Bezug genommen, die Weiterführung des Dienstverhältnisses als unzumutbar und die Kündigung als gerechtfertigt gewürdigt. Nachdem dem privaten Beschwerdeführer die für den Vertrauensverlust der Behörde geltend gemachten Gründe am 1. Februar 2000 ausführ­lich vorgehalten worden waren, erscheint eine solche zusammen­fassende Begründung als zulässig (Kölz/Bosshart/Röhl, § 10 N. 42).</w:t>
      </w:r>
    </w:p>
    <w:p>
      <w:r>
        <w:rPr>
          <w:b/>
        </w:rPr>
        <w:t>E. 8</w:t>
      </w:r>
    </w:p>
    <w:p>
      <w:r>
        <w:t>a) Neben der Einhaltung der Kündigungsfrist macht § 29 Abs. 2 LPG die Kündi­gung von keinen weiteren Voraussetzungen abhängig, doch hat der Staat wie erwähnt ver­fassungsrechtliche Schranken zu beachten, in materieller Hinsicht insbesondere das Will­kürverbot, die Grundsätze der Verhältnismässigkeit sowie von Treu und Glauben. Unter diesem Gesichtswinkel müssen die Gründe, die zur Kündigung Anlass geben, von einem gewissen Gewicht sein. Allerdings ist nicht erforderlich, dass sie die Fortsetzung des Ar­beitsverhältnisses als unzumutbar erscheinen lassen; es reicht aus, wenn die Weiterbeschäf­tigung des betreffen­den Angestellten dem öffentlichen Interesse, insbesondere demjenigen an einer gut funktio­nierenden Verwaltung, widerspricht (Matthias Michel, Beamtenstatus im Wandel, Zürich 1998, S. 299). Es müssen sachliche, vertretbare Gründe sein (Tobias Jaag, Das öffentlichrechtliche Dienstverhältnis im Bund und im Kanton Zürich – aus­ge­wählte Fragen, ZBl 95/1994, S. 463; RB 1995 Nr. 29 E. 1), so dass die Beendigung des Arbeitsverhältnisses nicht als Willkürakt erscheint (Hermann Schroff/ David Gerber, Die Beendigung der Dienstverhältnisse in Bund und Kantonen, St. Gallen 1985, S. 80).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 in den auch die Rekursinstanz trotz der ihr zustehenden Zweckmässigkeitskontrolle nur mit Zurückhaltung eingreift (vgl. Michel, S. 342 f.; Schroff/Gerber S. 84). b) Wie die beschwerdeführende Gemeinde grundsätzlich zu Recht geltend macht, ist die tiefgreifende Störung des Vertrauens in den Arbeitnehmer ein hinreichender Grund für eine Kündigung. Allerdings kann es dabei nicht bloss auf das subjektive Empfinden der die Kündigung beantragenden Behördemitglieder ankommen, sondern muss der Vertrau­ensverlust durch Verhaltensweisen des Entlassenen begründet sein, die ihn auch für Dritte als nachvollziehbar erscheinen lassen. Der Vorinstanz hat deshalb zutreffend die von der be­schwerdeführenden Gemeinde für ihren Vertrauensverlust angeführten Vorkommnisse un­tersucht und gewichtet. Sodann muss die Störung des Vertrauensverhältnisses die Ar­beits­tätigkeit des Entlassenen betreffen, etwa in der Weise, dass begründete Zweifel an der Vertrauenswürdigkeit oder bezüglich der Loyalität zum Arbeitgeber bestehen. Letztere er­fordert allerdings keine jede Kritik an der vorgesetzten Behörde ausschliessende Dienstfer­tigkeit; je anspruchsvoller die dem Angestellten übertragene Tätigkeit ist und je höher die Anforderungen bezüglich Selbständigkeit und Initiative sind, um so eher muss (und darf) die vorgesetzte Behörde von ihrem Angestellten das nachdrückliche Verfechten abwei­chender Standpunkte oder das kritische Hinterfragen ihrer Anordnungen erwarten. In be­sonderem Mass gilt dies im Schulwesen, wo der Lehrperson als pädagogischer Fachkraft eine in der Regel aus Laien zusammengesetzte Behörde vorgesetzt ist. Schliesslich muss auch eine objektiv begründete Störung des Vertrauensverhältnisses von einem Gewicht sein, welches die Kündigung als verhältnismässig erscheinen lässt. aa) Anlässlich der Anhörung vom 1. Februar 2000 wurden dem privaten Beschwer­deführer zur Begründung des Kündigungsantrags verschiedene Vorkommnisse aus der Vergangenheit vorgehalten. Zunächst ist von einem Konflikt mit E die Rede, an welchem der private Beschwerdeführer massgeblich beteiligt gewesen sei und in dessen Folge ihm die Auflage gemacht worden sei, dass weitere Vor­kommnisse, welche die Zusammenarbeit beeinträchtigen würden, nicht mehr toleriert wür­den. Ab August 1998 habe die neue Schulpflege bezüglich der Situation an der Oberstufe eine schwierige Situation angetroffen und die Realschule habe praktisch allein auf den Schultern von F gelastet. Die Schulpflege habe in der Folge die Oberstu­fenreform an die Hand nehmen müssen; entgegen einer Ab­machung habe sich der private Beschwerdeführer an einer Informationsversanstaltung mit einem eigenen polemischen Votum zu Wort gemeldet. In der selben Sache habe er sodann entgegen einer entsprechen­den Weisung einen Leserbrief erscheinen lassen, obwohl er im Zusammenhang mit der (zunächst verweigerten) Altersentlastung wiederholt zu einer bes­seren Zusammenarbeit aufgefordert worden sei. Nach den Sommerferien (1999) habe er, nachdem er für das Leh­rerzimmer Zeitungen abonniert habe, eine Neuregelung, welche einen Beitrag der Schul­pflege an die Kaffeekasse und die Abonnements vorgesehen habe, namens des Lehrerkol­legiums schroff zurückgewiesen, obwohl ein solcher Kollegiumsbe­schluss nicht gefällt worden sei. Schliesslich habe er von Anfang an gegen das Lehrerquali­fikationssystem (LQS) heftig opponiert und sein Misstrauen gegenüber der Schulpflege zum Ausdruck ge­bracht. Er habe für seine Beurteilung ein Dossier eingereicht, das nach Umfang und Inhalt dem Beurteilungsteam nicht zugemutet werden könne und berechtigte Geheimhaltungsin­teressen der Schüler/innen verletze. Trotz mehrmaliger Ermahnung sei eine konstruktive Zusammenarbeit nicht möglich und das Vertrauen deshalb erschüttert. Die Schulpflege befürchte zudem, dass der private Beschwerdeführer den Teamgeist und den Zusammen­halt des Oberstufenteams nicht fördere, sondern vor allem auf seine alters­bedingten Privi­legien poche. Im Antrag der Schulpflege an das Volksschulamt sind diese Vorwürfe nicht ver­mehrt oder konkretisiert worden, sondern wurde hauptsächlich darauf hingewiesen, dass wiederholte Ermahnungen zu besserer Zusammenarbeit nichts gefruchtet hätten. Auch in der Rekursvernehmlassung vom 26. Juni 2000 sind keine zu­sätzlichen Vorwürfe erhoben, sondern lediglich die früheren verdeutlicht worden. In der Beschwerdeschrift vom 3. No­vember 2000 wird erstmals geltend gemacht, auch die Schulführung des privaten Be­schwer­deführers sei nicht uneingeschränkt positiv zu bewerten, doch wird dies gleichzeitig als für das vorliegende Verfahren unmass­geblich bezeichnet. Sodann werden ihm zusätz­lich einzelne, teils länger zurückliegende Gehässigkeiten vorgeworfen. Entgegen der Dar­stellung des privaten Beschwerdeführers habe sich auch nach den Auseinandersetzungen um die Oberstufenreform die Situation an der Oberstufe nicht wieder normalisiert, was mit einem Schreiben des Lehrerkollegen F vom 25. Oktober 2000 untermauert wird, der aus­führt, ein Grund für seine Kündigung sei die "unerträgliche Situation mit A" gewesen. bb) Selbst wenn sich alle diese Vorkommnisse so zugetragen haben, wie sie die be­schwerdeführende Gemeinde schildert, kann der Vorinstanz in Bezug auf ihre Würdigung, die Kündigung sei sachlich nicht gerechtfertigt, keine Rechtsverletzung vorgeworfen wer­den. So ist bezüglich des Konflikts über die Oberstufenreform bis heute nicht substanziiert worden, inwiefern der private Beschwerdeführer für diesen Konflikt verantwortlich ge­macht werden kann. Dass er sich entgegen einer Abmachung im Kollegium an einer In­formationsveranstaltung geäussert hat und entgegen einer Weisung der Schulpflege einen – eher harmlosen – Leserbrief verfasst hat, vermag daran nichts zu ändern. Ebenfalls ist nicht ersichtlich, inwiefern ihm das Gesuch um Altersentlastung zum Vorwurf gemacht werden kann. Mit seiner kritischen Einstellung gegenüber dem LQS steht er in der Lehrer­schaft keineswegs allein und auch in der Literatur werden vor allem bei geistigen Tätig­keiten Zweifel an der Wirksamkeit lohnwirksamer Beurteilungssysteme geäussert (Norbert Thom/Adrian Ritz, Public Management, Wiesbaden 2000, S. 308). Inwiefern die von ihm eingereichten Beurteilungsunterlagen, die, wie die Vorinstanz unwidersprochen festgehal­ten hat, den Richtlinien der Bildungsdirektion entsprachen, als Obstruktion gegen das LQS verstanden werden können, ist unerfindlich. Jedoch lässt sich aufgrund der Akten schlies­sen, dass der Umgang mit dem privaten Beschwerdeführer nicht einfach war und er den sich in letzter Zeit jagenden Neuerungen im Schulwesen nicht unbedingt offen gegenüber­stand. Auch scheint er im Lehrerkollegium nicht nur Freunde gehabt zu haben. Dies – und die ihm vorgeworfenen Gehässigkeiten – lassen den privaten Beschwerdegegner als schwierigen Mitarbeiter erscheinen, doch wird seine Vertrauenswürdigkeit als Lehrer und seine Loyalität der Schule gegenüber dadurch nicht in Frage gestellt. Zwar kann allein schon der Wunsch, sich von einem schwierigen Mitarbeiter zu trennen, ein sachlicher Grund für eine Kündigung sein. Im Fall des 60-jährigen privaten Beschwerdeführers, der seit 23 Jahren im Dienst der beschwerdeführenden Gemeinde stand und dem hinsichtlich seiner Schulführung keinerlei Vorwürfe gemacht wurden, vermögen solche Gründe nicht auszureichen und erweist sich die Kündigung zumindest als unverhältnismässig. Hingegen kann von einer missbräuchlichen Kündigung im Sinne der Tatbestände des Obligationen­rechts keine Rede sein. c) Erweist sich eine Kündigung als nicht gerechtfertigt, so stellt das Verwaltungsge­richt dies fest und bestimmt es die Entschädigung, welche das Gemeinwesen zu entrichten hat (§ 80 Abs. 2 VRG). Nachdem der private Beschwerdeführer nach seiner Entlassung in X unmit­telbar anschliessend in Z angestellt worden ist und der sich unrechtmässig Entlas­sene anrechnen lassen muss, was er anderweitig verdient hat (RB 1962 Nr. 58), wird zu Recht kein Ersatz von durch die Kündigung entgangener Besoldung geltend gemacht. Eine weitergehende Entschädigung nach den Bestimmungen des Obligationenrechts über die missbräuchliche Kündigung, wie sie § 18 Abs. 3 PG vorsieht, fällt mangels Anwendbarkeit dieser Bestim­mung ausser Betracht (vgl. vorn Erw. 6). Sodann lassen sich die obligatio­nenrechtlichen Vorschriften über die missbräuchliche Kündigung (Art. 336/336a OR) auch nicht auf dem Weg der Lückenfüllung anwenden (vgl. Verwaltungsgericht, 2. März 1995 [VK.94.0031], ZBl 96/1995, 382 ff.; eine gegen diesen Entscheid erhobene staatsrechtliche Beschwerde hat das Bundesgericht am 23. Oktober 1996 abgewiesen); eine solche Lücken­füllung kommt insbesondere hier nicht in Betracht, wo der vorweg in Kraft gesetzte § 29 Abs. 3 LPG ausdrücklich nur auf die Bestimmungen des (allgemeinen) Personalgesetzes über die Abfindung verweist und nicht auch auf die Kündigungsschutzbestimmungen von § 18 PG, welcher in Absatz 3 bei missbräuchlicher oder sachlich nicht gerechtfertigter Kündigung eine Entschädigung nach den Bestimmungen des Obligationenrechts vorsieht. Anzumerken ist immerhin, dass die Auffassung der Vorinstanz, wonach diese Bestimmung zu keiner Entschädigung führen könne, weil der private Beschwerdeführer in einer anderen Gemein­de wiedereingestellt worden sei, den pönalen Charakter dieser Entschädigung wohl ver­kennt (vgl. Einzelrichter der 4. Abt., 6. Dezember 2000, PB.2000.00021). Das Rechtsmittel des privaten Beschwerdeführers ist deshalb insoweit unbegründet, als eine Entschädigung wegen missbräuchlicher oder sachlich ungerechtfertigter Kündi­gung verlangt wird.</w:t>
      </w:r>
    </w:p>
    <w:p>
      <w:r>
        <w:rPr>
          <w:b/>
        </w:rPr>
        <w:t>E. 9</w:t>
      </w:r>
    </w:p>
    <w:p>
      <w:r>
        <w:t>Die Vorinstanz hat dem privaten Beschwerdeführer gestützt auf § 29 Abs. 3 LPG in Verbindung mit § 26 PG eine Abfindung in der Höhe von 10 Monatslöhnen zugespro­chen. a) Gemäss § 26 Abs. 1 PG haben Angestellte mit wenigstens fünf Dienstjahren, de­ren Arbeitsverhältnis auf Veranlassung des Staates und ohne ihr Verschulden aufgelöst wird, Anspruch auf eine Abfindung, sofern sie mindestens 35jährig sind. Kein Anspruch besteht gemäss § 26 Abs. 3 PG unter anderem bei Auflösung des Arbeitsverhältnisses aus wichtigen Gründen. Der Regierungsrat regelt die Festsetzung der Abfindung und bestimmt einen nach dem Alter abgestuften Rahmen als Richtlinie; die Abfindung beträgt höchstens fünfzehn Monatslöhne (§ 26 Abs. 4 PG). Die Abfindung wird nach den Umständen des Einzelfalls festgelegt; angemessen berücksichtigt werden insbesondere die persönlichen Verhältnisse, die Dienstzeit, der Kündigungsgrund sowie der neue Lohn, falls der oder die Angestellte weiterbeschäftigt wird (§ 26 Abs. 5 PG). Gemäss § 7 Abs. 1 lit. c der Personalverordnung vom 16. Dezember 1998 beträgt die Abfindung je nach den im Einzelfall massgeblichen Umständen ab dem 51. Altersjahr drei bis 15 Monatslöhne. Für das Personal der Verwal­tung wird die Abfindung vom Regierungsrat festgelegt; er kann diese Befugnis für Ange­stellte bis Lohnklasse 23 seinen Direktionen übertragen. b) Die Abfindung im Sinn von § 26 PG will Staatsangestellten ab einer bestimmten Zahl von Dienstjahren, die zwar aus objektiven Gründen, aber ohne persönliches Verschul­den entlassen werden, eine gewisse Überbrückungshilfe und Anerkennung für ihre Dienst­treue gewähren und zugleich die sozialen Härten einer Kündigung mildern helfen; die Ab­findung soll auch präventiv gegen leichtfertige Kündigungen wirken (Fritz Lang; Das Zür­cher Personalgesetz vom 27. September 1998, in: Peter Helbling/Tomas Poledna [Hrsg.], Personalrecht des öffentlichen Dienstes, Bern 1999, S. 69). Entgegen der Auffassung der beschwerdeführenden Gemeinde schliesst somit der Umstand, dass der private Beschwer­deführer in einer anderen Gemeinde eine neue Stelle gefunden hat, eine Abfindung nicht von vornherein aus, ist jedoch bei der Bemessung als die Abfindung mindernd zu berück­sichtigen. Hingegen durfte die Vorinstanz die lange Dienstzeit, das langjährige schulpoliti­sche Engagement des privaten Beschwerdeführers und die Kränkung durch die angesichts des Gewichts der erhobenen Vorwürfe unverhältnismässige Kündigung als die Abfindung erhöhende Umstände berücksichtigen. Dabei liegt die Abfindung mit 10 Monatslöhnen angesichts der sofortigen Wiedereinstellung in einer anderen Gemeinde eher im oberen Bereich des Vertretbaren, jedoch angesichts aller übrigen Umstände noch innerhalb des weiten Ermessensspielraums, welcher der Verwaltungsbehörde bei der Bemessung der Ab­findung zusteht. Da die Verordnung die Festsetzung durch den Regierungsrat nur für das Personal der (kantonalen) Verwaltung vorsieht, ist die Festsetzung durch die Bildungsdi­rektion jedenfalls nicht rechtsverletzend; daran vermögen verwaltungsinterne Richtlinien nichts zu ändern und brauchen daher auch nicht beigezogen zu werden, ebenso wenig ein Amtsberichts des kantonalen Personalamts.</w:t>
      </w:r>
    </w:p>
    <w:p>
      <w:r>
        <w:rPr>
          <w:b/>
        </w:rPr>
        <w:t>E. 10</w:t>
      </w:r>
    </w:p>
    <w:p>
      <w:r>
        <w:t>Der private Beschwerdeführer beantragt eine Erhöhung der ihm für das Rekurs­verfahren zugesprochenen Parteientschädigung von Fr. 1'000.-. Der private Beschwerdeführer hat im Rekursverfahren keinen bezifferten Antrag auf Parteientschädigung gestellt und auch keine Zusammenstellung des entstandenen Auf­wands eingereicht. Unter diesen Umständen durfte die Vorinstanz ohne Rechtsverletzung den Vertretungsaufwand des Beschwerdeführers schätzen und gestützt auf eine solche Schätzung eine angemessene, das heisst jedenfalls keine volle, Entschädigung festsetzen. Der Vertreter des privaten Beschwerdeführers hat eine 14-seitige Rekursschrift und eine 11-seitige Replik eingereicht. Das Verfassen dieser Schriften zusammen mit Instruktion und Aktenstudium ergibt einen Stundenaufwand, der, auch wenn der für unentgeltliche Rechtsbeistände geltende Ansatz eingesetzt wird, weit über demjenigen liegt, der sich – ohne Berücksichtigung der Barauslagen – mit Fr. 1'000.- decken lässt. Die von der Vor­instanz zugesprochene Umtriebsentschädigung ist damit ermessensüberschreitend tief aus­gefallen. Andererseits hat der private Beschwerdeführer auch im Beschwerdeverfahren keine Aufzeichnungen über die aufgewendete Arbeitszeit eingereicht, sondern diese ohne weiteres Substanziieren mit 35 Stunden angegeben, weshalb auch das Verwaltungsgericht von einer Schätzung des notwendigen Aufwands ausgehen kann. Wird dieser mit maximal drei Arbeitstagen angenommen, so ergibt dies ein angemessene Entschädigung von Fr. 3000.- (MwSt inkl.) für das Rekursverfahren.</w:t>
      </w:r>
    </w:p>
    <w:p>
      <w:r>
        <w:rPr>
          <w:b/>
        </w:rPr>
        <w:t>E. 11</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