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PB.2000.00013 vom 20. Dezember 2000</w:t>
      </w:r>
    </w:p>
    <w:p>
      <w:r>
        <w:t>ZH Verwaltungsgericht, 2000-12-20, DE</w:t>
      </w:r>
    </w:p>
    <w:p>
      <w:r>
        <w:rPr>
          <w:b/>
        </w:rPr>
        <w:t xml:space="preserve">Quelle: </w:t>
      </w:r>
      <w:r>
        <w:t>https://mcp.opencaselaw.ch/entscheid/zh_verwaltungsgericht__PB.2000.00013</w:t>
      </w:r>
    </w:p>
    <w:p>
      <w:r>
        <w:t>FR: ZH_VERWALTUNGSGERICHT PB.2000.00013 du 20 décembre 2000</w:t>
      </w:r>
    </w:p>
    <w:p>
      <w:r>
        <w:t>IT: ZH_VERWALTUNGSGERICHT PB.2000.00013 del 20 dicembre 2000</w:t>
      </w:r>
    </w:p>
    <w:p>
      <w:pPr>
        <w:pStyle w:val="Heading2"/>
      </w:pPr>
      <w:r>
        <w:t>Regeste</w:t>
      </w:r>
    </w:p>
    <w:p>
      <w:r>
        <w:t>Kündigung | Die auf dem - nach einer Aussprachesitzung mit der betroffenen Person ergangenen - Zirkularbeschluss beruhende Kündigung einer Lehrkraft genügt den formellrechtlichen Anforderungen. Beschwerdelegitimation der Primarschulgemeinde, vertreten durch die Primarschulpflege, gegeben, nicht hingegen jene der Schulleitungskommission der der Schulgemeinde angegliederten Sonderschule (E. 1). Zur Zuständigkeit des Bezirksrats (E. 2). Der Einbezug der Primarschulpflege in das Rekursverfahren durch den Bezirksrat ist zu Recht erfolgt (E. 3). Die Kündigung mit vorgängigem rechtsgenügenden Zirkularbeschluss der Schulleitungskommission ist entgegen der Auffassung des Bezirksrats unter Wahrung des rechtlichen Gehörs formell gültig zustandegekommen (E. 4). Rückweisung an Bezirksrat zur Prüfung der Kündigung in materieller Hinsicht (E. 5).</w:t>
      </w:r>
    </w:p>
    <w:p>
      <w:pPr>
        <w:pStyle w:val="Heading2"/>
      </w:pPr>
      <w:r>
        <w:t>Erwägungen</w:t>
      </w:r>
    </w:p>
    <w:p>
      <w:r>
        <w:rPr>
          <w:b/>
        </w:rPr>
        <w:t>E. 4</w:t>
      </w:r>
    </w:p>
    <w:p>
      <w:r>
        <w:t>a) Hinsichtlich der formellen Gültigkeit der Kündigung hatte der Bezirksrat zu­nächst geprüft, ob der Beschluss zur Kündigung rechtsgültig zustande gekommen war. Da­zu verwies er namentlich auf die Anforderungen, welche praxisgemäss für die Gültig­keit eines Zirkularbeschlusses erforderlich seien. Angesichts der verschiedenen festge­stel­lten Formmängel qualifizierte der Bezirksrat die Kündigung mangels eines gültigen Be­schlus­ses für rechtlich wirkungslos. Sodann erachtete er die Kündigung auch infolge Miss­ach­tung des rechtlichen Gehörs als ungültig. b) Der von einer Kündigung Betroffene hat Anspruch auf ordnungsgemässe Wil­lens­bildung der entscheidenden Behörde. Die Missachtung dieses Anspruchs gilt als Ver­letzung von Verfahrensvorschriften, die grundsätzlich zur Rückweisung führt, unabhängig davon, ob die betroffene Instanz bei Einhaltung der verletzten Formvorschrift zu einem an­deren materiellen Ergebnis gelangt wäre (Kölz/Bosshart/Röhl, § 20 N. 15 f.). Nachdem es sich bei der HST um eine von der Primarschulgemeinde X geführte Schule handelt, ist für die Verfahrensvorschriften zunächst die Primarschulge­mein­deord­nung (act. --) anwendbar, welche zur Frage der formellen Beschlussfassung jedoch keine Bestimmungen enthält. Somit können entsprechend der zutreffenden Auffas­sung der Vor­instanz die Bestimmungen des Gemeindegesetzes vom 6. Juni 1926 (Gemein­deG) ange­wendet werden. aa) Gemäss § 67 GemeindeG sind Zirkularentscheide zulässig, wenn es um dringli­che Entscheide oder solche von geringer Bedeutung geht. Als neuer Vorsitzender der SLK versandte E am 30. März 1999 an die nach dem Rücktritt seiner Vorgän­gerin vom 4. März 1999 (act. --) verbliebenen Mitglieder der SLK (L, M und N) einen Fax unter anderem mit dem Antrag, der Beschwer­degegnerin auf Ende Schuljahr 1998/99 zu kündigen (act. --). M sprach sich glei­chentags für die Kündigung aus, L am 31. März 1999 dagegen (act. --). Von N erging keine Stellungnahme. Die Primarschulpflege wurde in der Fol­ge dahingehend orien­tiert, dass die SLK die Kündigung mit dem Stimmenverhältnis 2:1 beschlossen habe, wobei sich N nicht gemeldet habe (act. --). Das Beschluss­pro­tokoll über den Zirkularent­scheid wurde am 27. April 1999 ausgefertigt (act. --). Zweifellos handelt es sich bei der Kündigung gegenüber der Schulleiterin nicht mehr um einen Entscheid von bloss geringer Tragweite. Erfüllt ist hingegen das Kriterium der Dringlichkeit. Es scheint jedenfalls plausibel, wenn die Beschwerde ausführt, der Be­schluss sei auf dem Zirkularweg gefasst worden, weil sonst allenfalls nicht auf Ende Schul­jahr hätte gekündigt werden können. Plausibel ist auch, dass ein Zusammentreten der Be­hörde innert Kürze nicht möglich gewesen wäre. So befand sich E bis 16. April 1999 im Tessin im Militärdienst (act. --) und L teilte auf den Fax E's hin am 31. März 1999 mit, er sei ab sofort bis und mit 18. April 1999 nicht mehr erreichbar (act. --). Zudem hatte N am 5. März 1999 per Ostern den Rücktritt erklärt (act. --), war also nur mehr wenige Tag im Amt, da der Ostersonntag im Jahr 1999 auf den 4. April fiel. Somit ist grundsätzlich von der Zulässigkeit der Beschlussfassung auf dem Zirkularweg auszugehen - zumal beim Zir­kularbeschluss an die Dringlichkeit weit weniger hohe Anforderungen zu stellen sind als beim Erlass einer die Mitwirkungsrechte der Behördenmitglieder beschränkenden Präsidi­al­verfügung. Zu prüfen bleibt, ob der Zir­kularbeschluss anderweitig mängelbehaftet ist. bb) Nach Auffassung der Vorinstanz geht aus dem Fax an die Mitglieder der SLK vom 30. März 1999 nicht klar hervor, ob damit ein Antrag auf Beschlussfassung auf dem Zirkulationsweg gestellt worden sei. Tatsächlich ist der Fax nicht als Zirkularentscheid be­zeichnet worden ist. Indessen stellte E in besagtem Fax ausdrücklich den Antrag auf Kündigung des Ar­beitsverhältnisses mit B auf Ende Schuljahr 1998/99 und ersuchte die Mit­glie­der um eine Stellungnahme. Eine Frist für die Stellungnahme wurde zwar nicht ange­setzt; mit dem Hin­weis im Antrag, dass der 14. April 1999 spätester Kündigungstermin sei, waren die Mit­glie­der jedoch klar aufgefordert, ihre Meinung zur beantragten Kündigung zwecks Frist­wahrung jedenfalls bis einige Tage vor dem 14. April 1999 kundzutun. Der Antrag E's kann somit noch als genügende Grundlage für einen Zirkularentscheid gelten. cc) Richtig ist, dass von N keine Stellungnahme einging, was grundsätzlich § 66 Abs. 3 GemeindeG widerspricht. Indes bezieht sich dieser Absatz von der Systematik her auf die anwesenden Mitglieder. So kann nicht davon ausgegangen werden, dass der Ent­scheid einer Gemeindebehörde nur deshalb ungültig ist, weil ein Mitglied ohne genü­gende Entschuldigung nicht erschienen war und somit seine Stimme nicht abgab. Gleiches muss hier gelten: Beteiligt sich ein Mitglied nicht an der Zirkular-Abstimmung, so führt dies nicht zur Ungültigkeit des Beschlusses. Massgeblich muss in analoger Anwendung von § 66 Abs. 1 GemeindeG sein, dass sich die Mehrheit der Mitglieder beteiligt hat. Dies war hier der Fall. Unmassgeblich bleibt vor diesem Hintergrund, ob N den Fax persönlich ent­gegen­genommen hat. Wie sich aus den Akten ergibt, ist der Fax am 30. März 1999 an die Fax-Nummer XXXX der Kantonalen Verwaltung des Kantons Q, XX- Dienst, wo N tätig war, gemäss Sendebericht als "OK" ge­sendet worden (act. --). Unter dieser Fax-Nummer hatte N korrespondiert (vgl. etwa act. --). Damit ist der Antrag auch gegenüber N ordnungsge­mäss erfolgt. dd) Hinsichtlich der für einen Zirkulationsentscheid erforderlichen Unterlagen ist die Vorinstanz der Auffassung, dem Fax sei zu Unrecht weder das Protokoll der Ausspra­chesitzung vom 16. März 1999 noch die im Fax erwähnte Auskunft der kantonalen Bil­dungs­direktion (oder eine Aktennotiz darüber) vorgelegen. Sämtliche, nach dem sofortigen Rücktritt der früheren Präsidentin T vom 4. März 1999 in der SLK verbliebenen Mitglieder hatten an der Sitzung vom 16. März 1999 teil­ge­nommen. Somit war ihnen bekannt, was an der Sitzung gesprochen worden war, was den Versand des Protokolls nicht als unentbehrliche Voraussetzung für den Erlass des Zirkula­tionsbeschlusses erscheinen lässt. Die Auskunft der Bildungsdirektion hat E­ im Faxschrei­ben wiedergegeben. Auch insoweit kann nicht vom Fehlen von Entschei­dungsgrundlagen ausgegangen werden, zumal Hinweise auf das Vorhandensein einer de­tail­lierteren schrift­lichen Auskunft fehlen. ee) Zusammengefasst ist davon auszugehen, dass der Kündigung vom 13. April 1999 eine rechtsgültige Beschlussfassung durch die SLK zugrunde lag. c) Nach Auffassung der Vorinstanz ist das rechtliche Gehör der Beschwerdegegne­rin im Kündigungsverfahren missachtet worden und die Kündigung zusätzlich unter die­sem Aspekt ungültig. aa) Besondere Verfahrensvorschriften für das Vorgehen bei Kündigungen können der Primarschulgemeindeordnung X nicht entnommen werden. Ohnehin nicht an­wendbar zur Beurteilung der formellen Erfordernisse an eine Kündigung ist das erst am 1. Juli 1999 in Kraft getretene neue kantonale Personalgesetz vom 27. September 1998 (vgl. insbeson­dere § 57 Abs. 4, wonach für Arbeitsverhältnisse, die beim Inkrafttreten des Personalge­set­zes - wie hier - bereits gekündigt waren, bisheriges Recht gilt). Damit stellt sich in verfah­rensmässiger Hinsicht die Frage, ob die Kündigung insofern den Anforderun­gen genügt, die sich aus den Bestimmungen des Verwaltungsrechtspflegegesetzes bzw. ver­fassungs­rechtlichen Verfahrensgarantien ergeben. Es gelten die allgemeinen Grundsätze des Ver­waltungsverfahrens, so insbesondere die aus dem Anspruch auf rechtliches Gehör (Art. 29 Abs. 2 BV) abgeleiteten Verfahrensgarantien, darunter das Recht auf vorgängige Anhö­rung, und die in § 10 Abs. 2 VRG ausdrücklich geregelte Begründungspflicht. bb) Das Verwaltungsgericht hat in RB 1995 Nr. 21 den Gehörsanspruch bei einer ordentlichen Kündigung konkretisiert (E. 2). Es hielt unter anderem fest, dass an die Ge­währung des rechtlichen Gehörs bei der ordentlichen Kündigung nicht allzu strenge Anfor­derun­gen gestellt werden dürften. Anders als beim Disziplinarverfahren würden der betrof­fenen Person bei der ordentlichen Kündigung keine schuldhaften Pflichtverletzungen vor­geworfen, sondern es gäben andere objektive und triftige Gründe wie etwa mangelhafte Fä­hig­keiten und Leistungen den Ausschlag. Es sei in aller Regel weder angezeigt noch üb­lich, vor dem Aussprechen einer ordentlichen Kündigung ein eigentliches Untersu­chungs­verfahren über die Qualität der Arbeitsleistung durchzuführen. Vielmehr müsse es grund­sätzlich genügen, wenn eine negative Leistungsbeurteilung durch den Vorgesetzten vor­liege, diese dem Betroffenen eröffnet und ihm Gelegenheit zur Stellungnahme gegeben werde. Diese Anforderungen hat die SLK auf das Ganze gesehen erfüllt. Wie sich aus dem Protokoll der "Aussprachesitzung" vom 16. März 1999 (act. --) ergibt, war die Be­schwer­de­gegnerin mit den Einwänden gegen ihre Führung der Schule konfrontiert worden. Sie war an der Sitzung in Begleitung ihres Rechtsanwalts anwesend. Auf dessen Begehren hin wurden Vorwürfe zusätzlich konkretisiert. Der Beschwerdegegnerin wurde unter ande­rem Folgendes vorgeworfen: Sie befriedige das Informationsbedürfnis der SLK nicht; sie sei nicht bereit, die "Integration" umzusetzen; sie habe an einer angesagten Integrations-Sitzung nicht teilnehmen wollen; sie habe sich geweigert, spezielle Betreuungsmassnah­men zu unterstützen; sie habe Mühe, die Sorgen von Eltern zu verstehen und ernst zu neh­men; sie habe in einem Elterngespräch den Ausdruck "Möngi" verwendet; Eltern bzw. ein­weisende Stellen würden die Kinder nicht mehr an die HST schicken; das Vertrauen in die Schulleitung sei erschüttert. Dazu konnten sich die Beschwerdegegnerin und ihr Ver­treter an der Sitzung vereinzelt bereits mündlich äussern. Auf entsprechende Aufforderung hin konnte die Beschwerdegegnerin schliesslich durch ihren Rechtsanwalt am 22. März 1999 auch schriftlich Stellung nehmen und schlug eine neue Aussprachesitzung vor. Damit wur­de das rechtliche Gehör im Hin­blick auf die am 13. April 1999 erfolgte Kündigung ge­wahrt. cc) Im Übrigen richten sich die Anforderungen zur Begründung einer Kündigung wie gesehen nach § 10 Abs. 2 VRG. Bezüglich der Ausführlichkeit einer Begründung las­sen sich keine allgemeinen Regeln aufstellen, sondern die Anforderungen richten sich nach den Umständen des Einzelfalls und den Interessen des Betroffenen. Die Begründung einer Anordnung erscheint als angemessen, wenn sie so abgefasst ist, dass sich der Betroffene über die Tragweite des Entscheids Rechenschaft zu geben und allenfalls in voller Kenntnis der Gründe ein Rechtsmittel zu ergreifen vermag; in diesem Sinn müssen wenigstens kurz die Überlegungen genannt sein, von denen sich die Behörde leiten liess und auf welche sich ihr Entscheid stützt (Kölz/Bosshart/Röhl, § 10 N. 39 mit Hinweisen). Diesen Anforderungen genügt die am 13. April 1999 ausgesprochene Kündigung. Sie ist zwar knapp abgefasst, verweist aber insbesondere auf die Aussprache vom 16. März 1999 und somit auf die damals erhobenen Vorwürfe. Zudem wurde die Kündigung mit der Überzeugung der Behörde begründet, dass das Anstellungsverhältnis angesichts des gestör­ten Vertrauensverhältnisses nicht fortgesetzt werden könne (act. --). Damit sind die Grün­de der Kündigung ausreichend dargelegt; ob sie zutreffen, ist eine gänzlich andere Frage und im Zusammenhang mit der materiellen Beurteilung der Kündigung (sachliche Begründet­heit und allenfalls Rechtsmissbräuchlichkeit) zu prüfen. d) Zusammengefasst ergibt sich somit, dass der Kündigung vom 13. April 1999 eine ausreichende Beschlussfassung zugrunde lag und dass der Gehörsanspruch der Be­schwerdegegnerin im Rahmen des Kündigungsverfahrens gewahrt worden war. Dies führt zur Aufhebung des angefochtenen Entscheids, welcher die Kündigung infolge dahin ge­hen­der formeller Mängel aufgehoben hatte.</w:t>
      </w:r>
    </w:p>
    <w:p>
      <w:r>
        <w:rPr>
          <w:b/>
        </w:rPr>
        <w:t>E. 5</w:t>
      </w:r>
    </w:p>
    <w:p>
      <w:r>
        <w:t>Ungeprüft blieben bisher die weiteren Einwände der Beschwerdegegnerin gegen die Kündigung in materieller Hinsicht sowie zur Frage, auf welchen Zeitpunkt die Kündi­gung Wirkung entfalten konnte. Nachdem sich die Vorinstanz zu diesen Fragen nicht ge­äus­sert hat, ist die Sache in Anwendung von § 64 Abs. 1 VGR zu neuer Entscheidung zu­rückzuweisen.</w:t>
      </w:r>
    </w:p>
    <w:p>
      <w:r>
        <w:rPr>
          <w:b/>
        </w:rPr>
        <w:t>E. 6</w:t>
      </w:r>
    </w:p>
    <w:p>
      <w:r>
        <w:t>... Demgemäss entscheidet das Verwaltungsgericht : 1. Auf die Beschwerde der Beschwerdeführerin 1 wird nicht eingetreten. 2. In teilweiser Gutheissung der Beschwerde der Beschwerdeführerin 2 wird der Be­schluss des Bezirksrats Winterthur vom 26. Mai 1999 aufgehoben und die Sache zu neuer Entscheidung im Sinn der Erwägungen an die Vorinstanz zurückgewiesen.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