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PB.1999.00026 vom 31. März 1998</w:t>
      </w:r>
    </w:p>
    <w:p>
      <w:r>
        <w:t>ZH Verwaltungsgericht, 1998-03-31, DE</w:t>
      </w:r>
    </w:p>
    <w:p>
      <w:r>
        <w:rPr>
          <w:b/>
        </w:rPr>
        <w:t xml:space="preserve">Quelle: </w:t>
      </w:r>
      <w:r>
        <w:t>https://mcp.opencaselaw.ch/entscheid/zh_verwaltungsgericht__PB.1999.00026</w:t>
      </w:r>
    </w:p>
    <w:p>
      <w:r>
        <w:t>FR: ZH_VERWALTUNGSGERICHT PB.1999.00026 du 31 mars 1998</w:t>
      </w:r>
    </w:p>
    <w:p>
      <w:r>
        <w:t>IT: ZH_VERWALTUNGSGERICHT PB.1999.00026 del 31 marzo 1998</w:t>
      </w:r>
    </w:p>
    <w:p>
      <w:pPr>
        <w:pStyle w:val="Heading2"/>
      </w:pPr>
      <w:r>
        <w:t>Regeste</w:t>
      </w:r>
    </w:p>
    <w:p>
      <w:r>
        <w:t>Parteientschädigung | Parteientschädigung im Rekursverfahren: Gesetzliche Grundlagen und Kriterien im Allgemeinen (E. 3a). Eine Gemeinde mit knapp 2'100 Einwohner/-innen hat in einer nicht einfachen personalrechtlichen Auseinandersetzung, bei welcher sich der Arbeitnehmer durch einen Rechtsbeistand vertreten lässt, Anspruch auf eine angemessene Parteientschädigung (E. 3b/c). Als angemessen erweist sich für das Rekursverfahren mit Anwaltskosten von rund Fr. 6'700.- eine Entschädigung von Fr. 1'800.- (E. 3d).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... Demgemäss entscheidet der Einzelrichter: 1. In Gutheissung der Beschwerde wird der Beschwerdegegner verpflichtet, der Be­schwer­deführerin für das Rekursverfahren binnen 30 Tagen ab Zustellung dieses Ent­scheids eine Parteientschädigung von Fr. 1'800.‑, Mehrwertsteuer inbegriffen, zu be­zahlen. 2. ...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