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KE.2024.00004 vom 14. Mai 2009</w:t>
      </w:r>
    </w:p>
    <w:p>
      <w:r>
        <w:t>ZH Verwaltungsgericht, 2009-05-14, DE</w:t>
      </w:r>
    </w:p>
    <w:p>
      <w:r>
        <w:rPr>
          <w:b/>
        </w:rPr>
        <w:t xml:space="preserve">Quelle: </w:t>
      </w:r>
      <w:r>
        <w:t>https://mcp.opencaselaw.ch/entscheid/zh_verwaltungsgericht__KE.2024.00004</w:t>
      </w:r>
    </w:p>
    <w:p>
      <w:r>
        <w:t>FR: ZH_VERWALTUNGSGERICHT KE.2024.00004 du 14 mai 2009</w:t>
      </w:r>
    </w:p>
    <w:p>
      <w:r>
        <w:t>IT: ZH_VERWALTUNGSGERICHT KE.2024.00004 del 14 maggio 2009</w:t>
      </w:r>
    </w:p>
    <w:p>
      <w:pPr>
        <w:pStyle w:val="Heading2"/>
      </w:pPr>
      <w:r>
        <w:t>Regeste</w:t>
      </w:r>
    </w:p>
    <w:p>
      <w:r>
        <w:t>Kostenerlass | Kostenerlass. Rechtzeitigkeit des Gesuchs.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Gleiches muss gelten, wenn ein Gesuch um unentgeltliche Prozessführung zwar gestellt, aber auf Aufforderung hin nicht substanziiert und deshalb abgewiesen wurde. Der entsprechende Nachweis gelingt hier nicht (E. 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oder des Generalsekretärs des Verwaltungsgerichts kann an die Verwaltungskommission weitergezogen werden (vgl. § 8a der Organisationsverordnung des Verwaltungsgerichts vom 23. August 2010).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und 23. August 2011, KE.2011.00001, E. 2.1.2; Plüss, § 16 N. 17). Gleiches muss gelten, wenn ein Gesuch um unentgeltliche Prozessführung zwar gestellt, aber auf Aufforderung hin nicht substanziiert und deshalb abgewiesen wurde. Es obliegt grundsätzlich dem Gesuchstellenden, seine Einkommens- und Vermögensverhältnisse umfassend darzustellen und soweit möglich zu belegen.</w:t>
      </w:r>
    </w:p>
    <w:p>
      <w:r>
        <w:rPr>
          <w:b/>
        </w:rPr>
        <w:t>E. 2.3.1</w:t>
      </w:r>
    </w:p>
    <w:p>
      <w:r>
        <w:t>Im vorangehenden Beschwerdeverfahren wurde dem Rekurrenten mit Präsidialverfügung vom 22. Februar 2024 Frist angesetzt, um umfassend seine Einkommens- und Vermögensverhältnisse darzulegen und zu belegen. Er wurde darauf hingewiesen, dass bei Säumnis oder unzureichender Auskunftserteilung der Nachweis der Mittellosigkeit als nicht erbracht erachtet und das Gesuch um Gewährung der unentgeltlichen Prozessführung deswegen abgewiesen würde. In der Folge reichte der Rekurrent dem Verwaltungsgericht verschiedene Unterlagen ein, kam damit seiner Verpflichtung zur umfassenden Darlegung und Belegung seiner Einkommens- und Vermögensverhältnisse jedoch nicht nach. Androhungsgemäss wurde sein Gesuch deshalb mit Präsidialverfügung vom 5. März 2024 abgewiesen.</w:t>
      </w:r>
    </w:p>
    <w:p>
      <w:r>
        <w:rPr>
          <w:b/>
        </w:rPr>
        <w:t>E. 2.3.2</w:t>
      </w:r>
    </w:p>
    <w:p>
      <w:r>
        <w:t>Da es der Rekurrent nach dem Ausgeführten unterlassen hatte, auf Aufforderung hin sein Gesuch um unentgeltliche Prozessführung hinreichend zu substanziieren und das Gesuch deshalb abgewiesen wurde, kommt ein Erlass der Gerichtskosten im Nachhinein nur bei Nachweis in Betracht, dass die Bedürftigkeit erst nach der Entscheidfällung eingetreten ist oder dass sich die finanziellen Verhältnisse seither verschlechtert haben. Ein solcher Nachweis fehlt im vorliegenden Fall. Die vom Rekurrenten eingereichten Belege vom 13. Juni und vom 29. Oktober 2024 über den Leistungsanspruch gegenüber dem Arbeitsmarktservice B lassen keinen Schluss darüber zu, ob erst nach dem 3. Juni 2024 eine Bedürftigkeit bzw. eine massgebliche Verschlechterung der finanziellen Lage eingetreten ist oder ob eine solche schon zuvor bzw. überhaupt bestanden hat. Wie bereits im ursprünglichen Gesuch unterlässt es der Rekurrent denn auch erneut, hinreichende Belege für seine finanzielle Situation einzureichen, wie etwa die letzte Steuererklärung und Steuereinschätzung sowie Kontoauszüge. Gesamthaft kann er den Nachweis einer nach der Entscheidfällung eingetretenen Bedürftigkeit bzw. einer Verschlechterung der finanziellen Lage nicht erbringen.</w:t>
      </w:r>
    </w:p>
    <w:p>
      <w:r>
        <w:rPr>
          <w:b/>
        </w:rPr>
        <w:t>E. 3</w:t>
      </w:r>
    </w:p>
    <w:p>
      <w:r>
        <w:t>Nach dem Gesagten ist der Rekurs abzuweisen. Angesichts der Umstände sind die Kosten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 25. April 2014, 2D_34/2014, E. 2 –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