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KE.2023.00007 vom 14. Januar 2022</w:t>
      </w:r>
    </w:p>
    <w:p>
      <w:r>
        <w:t>ZH Verwaltungsgericht, 2022-01-14, DE</w:t>
      </w:r>
    </w:p>
    <w:p>
      <w:r>
        <w:rPr>
          <w:b/>
        </w:rPr>
        <w:t xml:space="preserve">Quelle: </w:t>
      </w:r>
      <w:r>
        <w:t>https://mcp.opencaselaw.ch/entscheid/zh_verwaltungsgericht__KE.2023.00007</w:t>
      </w:r>
    </w:p>
    <w:p>
      <w:r>
        <w:t>FR: ZH_VERWALTUNGSGERICHT KE.2023.00007 du 14 janvier 2022</w:t>
      </w:r>
    </w:p>
    <w:p>
      <w:r>
        <w:t>IT: ZH_VERWALTUNGSGERICHT KE.2023.00007 del 14 gennaio 2022</w:t>
      </w:r>
    </w:p>
    <w:p>
      <w:pPr>
        <w:pStyle w:val="Heading2"/>
      </w:pPr>
      <w:r>
        <w:t>Regeste</w:t>
      </w:r>
    </w:p>
    <w:p>
      <w:r>
        <w:t>Kostenerlass | Mit Entscheid der 3. Abteilung des Verwaltungsgerichts wurde das Gesuch des Rekurrenten um unentgeltliche Prozessführung wegen Aussichtslosigkeit abgewiesen. Es steht dem Verwaltungsgericht nicht zu, das rechtskräftige Urteil zu überprüfen. Erwies sich jedoch die ursprüngliche Beschwerde als aussichtslos, kommt die nachträgliche Gewährung eines Kostenerlasses nicht infrage (E. 2.2). Abweisung.</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[LS 175.211]), wobei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der Generalsekretärin des Verwaltungsgerichts kann an die Verwaltungskommission weitergezogen werden (vgl. § 8a Satz 1 der Organisationsverordnung des Verwaltungsgerichts vom 23. August 2010 [LS 175.21]). Da auch die übrigen Prozessvoraussetzungen erfüllt sind, ist auf den Rekurs einzutreten.</w:t>
      </w:r>
    </w:p>
    <w:p>
      <w:r>
        <w:rPr>
          <w:b/>
        </w:rPr>
        <w:t>E. 2.1</w:t>
      </w:r>
    </w:p>
    <w:p>
      <w:r>
        <w:t>Für den nachträglichen Erlass der Gerichtskosten ist § 16 Abs. 1 des Verwaltungsrechtspflegegesetzes vom 24. Mai 1959 (VRG, LS 175.2) betreffend die unentgeltliche Rechtspflege entsprechend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(SR 101) übereinstimmt – kann Privaten die Bezahlung von Verfahrenskosten ganz oder teilweise erlassen werden, wenn ihnen die nötigen Mittel fehlen und ihr Begehren nicht offensichtlich aussichtslos erscheint. Demgemäss setzt die nachträgliche Gewährung eines Kostenerlasses unter anderem voraus, dass das ursprüngliche Rechtsmittel nicht aussichtslos war (VGr, 8. Februar 2021, KE.2021.00001, E. 2.1 mit Hinweis; Plüss, § 16 N. 17 mit Hinweis auf VGr, 23. August 2011, KE.2011.00001, E. 2, 2.1.2 und E. 3.2).</w:t>
      </w:r>
    </w:p>
    <w:p>
      <w:r>
        <w:rPr>
          <w:b/>
        </w:rPr>
        <w:t>E. 2.2</w:t>
      </w:r>
    </w:p>
    <w:p>
      <w:r>
        <w:t>Mit Urteil vom 24. März 2023 wies der Einzelrichter der 3. Abteilung des Verwaltungsgerichts im Beschwerdeverfahren VB.2023.00148 ein Gesuch des Rekurrenten um unentgeltliche Prozessführung wegen offensichtlicher Aussichtslosigkeit ab (E. 3). Der betreffende Entscheid erwuchs unangefochten in Rechtskraft. Es steht der Verwaltungskommission nicht zu, das rechtskräftige Urteil vom 24. März 2023 zu überprüfen. Erwies sich jedoch die ursprüngliche Beschwerde (im Verfahren VB.2023.00148) an das Verwaltungsgericht als aussichtslos, kommt die nachträgliche Gewährung eines Kostenerlasses von vornherein nicht infrage (so auch statt vieler VGr, 4. Mai 2023, KE.2023.00002, E. 2.1, und 3. April 2023, KE.2022.00001, E. 2.2 [nicht publiziert]). Der Rekurs ist daher abzuweisen.</w:t>
      </w:r>
    </w:p>
    <w:p>
      <w:r>
        <w:rPr>
          <w:b/>
        </w:rPr>
        <w:t>E. 3</w:t>
      </w:r>
    </w:p>
    <w:p>
      <w:r>
        <w:t>Aufgrund der Umstände rechtfertigt es sich, die Gerichtskosten auf die Gerichtskasse zu nehmen.</w:t>
      </w:r>
    </w:p>
    <w:p>
      <w:r>
        <w:rPr>
          <w:b/>
        </w:rPr>
        <w:t>E. 4</w:t>
      </w:r>
    </w:p>
    <w:p>
      <w:r>
        <w:t>Die Beschwerde in öffentlich-rechtlichen Angelegenheiten an das Bundesgericht ist gegen Entscheide über die Stundung oder den Erlass von Abgaben ausdrücklich ausgeschlossen (Art. 83 lit. m des Bundesgerichtsgesetzes vom 17. Juni 2005 [BGG, SR 173.110] ).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zum Ganzen BGr, 14. Januar 2022, 2C_36/2022, E. 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