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KE.2023.00004 vom 14. Mai 2009</w:t>
      </w:r>
    </w:p>
    <w:p>
      <w:r>
        <w:t>ZH Verwaltungsgericht, 2009-05-14, DE</w:t>
      </w:r>
    </w:p>
    <w:p>
      <w:r>
        <w:rPr>
          <w:b/>
        </w:rPr>
        <w:t xml:space="preserve">Quelle: </w:t>
      </w:r>
      <w:r>
        <w:t>https://mcp.opencaselaw.ch/entscheid/zh_verwaltungsgericht__KE.2023.00004</w:t>
      </w:r>
    </w:p>
    <w:p>
      <w:r>
        <w:t>FR: ZH_VERWALTUNGSGERICHT KE.2023.00004 du 14 mai 2009</w:t>
      </w:r>
    </w:p>
    <w:p>
      <w:r>
        <w:t>IT: ZH_VERWALTUNGSGERICHT KE.2023.00004 del 14 maggio 2009</w:t>
      </w:r>
    </w:p>
    <w:p>
      <w:pPr>
        <w:pStyle w:val="Heading2"/>
      </w:pPr>
      <w:r>
        <w:t>Regeste</w:t>
      </w:r>
    </w:p>
    <w:p>
      <w:r>
        <w:t>Kostenerlass | Kostenerlass. Rechtzeitigkeit des Gesuchs.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Dies ist vorliegend nicht der Fall (E. 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die Generalsekretärin oder der Generalsekretär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oder des Generalsekretärs des Verwaltungsgerichts kann an die Verwaltungskommission weitergezogen werden (vgl. § 8a Satz 1 der Organisationsverordnung des Verwaltungsgerichts vom 23. August 2010).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2014 etc. [Kommentar VRG], § 16 N. 17). Gemäss § 65a Abs. 2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Kommentar VRG,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vgl. auch Entscheid des Kantonsgerichts St. Gallen, 21. August 2007, VZ.2007.31, E. 2 a/bb).</w:t>
      </w:r>
    </w:p>
    <w:p>
      <w:r>
        <w:rPr>
          <w:b/>
        </w:rPr>
        <w:t>E. 2.3</w:t>
      </w:r>
    </w:p>
    <w:p>
      <w:r>
        <w:t>In der angefochtenen Verfügung vom 6. Januar 2023 führte die Generalsekretärin aus, für die Gewährung eines Kostenerlasses seien die Voraussetzungen nicht erfüllt, weil es der Gesuchsteller versäumt habe, rechtzeitig, d. h. noch während des laufenden Verfahrens, ein Gesuch um unentgeltliche Rechtspflege zu stellen oder nachzuweisen, dass die Bedürftigkeit erst nach Urteilsfällung eingetreten ist bzw. sich die finanziellen Verhältnisse seither verschlechtert haben. Der Rekurrent hält dem entgegen, dass ihm im Verfahren VB.2022.00205 mit Verfügung vom 22. Juli 2022 ein Kostenerlass gewährt worden sei, weshalb ein Kostenerlass immer gerechtfertigt sei, zumal sich seine Situation seither nicht verbessert habe.</w:t>
      </w:r>
    </w:p>
    <w:p>
      <w:r>
        <w:rPr>
          <w:b/>
        </w:rPr>
        <w:t>E. 2.4</w:t>
      </w:r>
    </w:p>
    <w:p>
      <w:r>
        <w:t>Wie vorstehend ausgeführt (E. 2.2), hätte der Rekurrent sein Gesuch um Erlass der Verfahrenskosten vor Ergehen des Endentscheids vom 10. November 2022 stellen müssen, zumal er ausdrücklich nicht geltend macht, die Bedürftigkeit sei erst nach der Entscheidfällung eingetreten oder seine finanziellen Verhältnisse hätten sich seither verschlechtert. Solches ergibt sich denn auch nicht aus den Akten – vielmehr wird vor dem Hintergrund des vormaligen Kostenerlasses im Verfahren VB.2022.00205 ersichtlich, dass die Bedürftigkeit schon zu diesem Zeitpunkt bestand. Weiter wird in der diesbezüglichen Kostenerlassverfügung ausdrücklich ausgeführt, dass sich aufgrund der Notlage ausnahmsweise und unpräjudiziell ein Kostenerlass aus Billigkeitsgründen rechtfertige; es kann mithin entgegen dem Rekurrent keine Rede davon sein, dass ein Kostenerlass in seiner Situation stets gewährt werden müsste.</w:t>
      </w:r>
    </w:p>
    <w:p>
      <w:r>
        <w:rPr>
          <w:b/>
        </w:rPr>
        <w:t>E. 2.5</w:t>
      </w:r>
    </w:p>
    <w:p>
      <w:r>
        <w:t>Nach dem Gesagten ist der Rekurs abzuweisen. Angesichts der Umstände sind die Kosten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