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GB.2021.00006 vom 21. Oktober 2009</w:t>
      </w:r>
    </w:p>
    <w:p>
      <w:r>
        <w:t>ZH Verwaltungsgericht, 2009-10-21, DE</w:t>
      </w:r>
    </w:p>
    <w:p>
      <w:r>
        <w:rPr>
          <w:b/>
        </w:rPr>
        <w:t xml:space="preserve">Quelle: </w:t>
      </w:r>
      <w:r>
        <w:t>https://mcp.opencaselaw.ch/entscheid/zh_verwaltungsgericht__GB.2021.00006</w:t>
      </w:r>
    </w:p>
    <w:p>
      <w:r>
        <w:t>FR: ZH_VERWALTUNGSGERICHT GB.2021.00006 du 21 octobre 2009</w:t>
      </w:r>
    </w:p>
    <w:p>
      <w:r>
        <w:t>IT: ZH_VERWALTUNGSGERICHT GB.2021.00006 del 21 ottobre 2009</w:t>
      </w:r>
    </w:p>
    <w:p>
      <w:pPr>
        <w:pStyle w:val="Heading2"/>
      </w:pPr>
      <w:r>
        <w:t>Regeste</w:t>
      </w:r>
    </w:p>
    <w:p>
      <w:r>
        <w:t>Ordnungsbusse (Steuerperiode 2018) | [Nichteintreten zufolge vollmachtloser Stellvertretung.]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Gerichtskosten des vorliegenden Verfahrens werden dem ohne Vollmacht handelnden Ehemann der Beschuldigten, B, auferlegt (vgl. E. 1.1).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