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EG.2024.00002 vom 21. August 2023</w:t>
      </w:r>
    </w:p>
    <w:p>
      <w:r>
        <w:t>ZH Verwaltungsgericht, 2023-08-21, DE</w:t>
      </w:r>
    </w:p>
    <w:p>
      <w:r>
        <w:rPr>
          <w:b/>
        </w:rPr>
        <w:t xml:space="preserve">Quelle: </w:t>
      </w:r>
      <w:r>
        <w:t>https://mcp.opencaselaw.ch/entscheid/zh_verwaltungsgericht__EG.2024.00002</w:t>
      </w:r>
    </w:p>
    <w:p>
      <w:r>
        <w:t>FR: ZH_VERWALTUNGSGERICHT EG.2024.00002 du 21 août 2023</w:t>
      </w:r>
    </w:p>
    <w:p>
      <w:r>
        <w:t>IT: ZH_VERWALTUNGSGERICHT EG.2024.00002 del 21 agosto 2023</w:t>
      </w:r>
    </w:p>
    <w:p>
      <w:pPr>
        <w:pStyle w:val="Heading2"/>
      </w:pPr>
      <w:r>
        <w:t>Regeste</w:t>
      </w:r>
    </w:p>
    <w:p>
      <w:r>
        <w:t>Berichtigung des Urteils VB.2022.00768 vom 25. Januar 2024 | Voraussetzungen und Wirkungen der Berichtigung (E. 2.1). Dispositivziffer 1 des Urteils VB.2022.00768 enthält einen offenkundigen Schreibfehler und ist zu berichtigen (E. 2.2 ff.). Gutheissung und Berichtigung.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Kosten dieses Verfahrens sind auf die Gerichtskasse zu nehmen.</w:t>
      </w:r>
    </w:p>
    <w:p>
      <w:r>
        <w:rPr>
          <w:b/>
        </w:rPr>
        <w:t>E. 4</w:t>
      </w:r>
    </w:p>
    <w:p>
      <w:r>
        <w:t>Gegen den vorliegenden Beschluss ist dasselbe Rechtsmittel gegeben wie gegen das zu berichtigende Ursprungsurteil (vgl. VGr, 21. August 2023, EG.2023.00001, E. 4; Bertschi, N. 27). Demnach kann der Beschluss mit Beschwerde in öffentlich-rechtlichen Angelegenheiten nach Art. 82 ff. des Bundesgerichtsgesetzes vom 17. Juni 2005 (BGG; SR 173.110) angefochten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